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46BD2"/>
          <w:sz w:val="20"/>
          <w:szCs w:val="20"/>
        </w:rPr>
        <w:t xml:space="preserve">nank.ai  ·  Procedure template</w:t>
      </w:r>
    </w:p>
    <w:p>
      <w:pPr>
        <w:spacing w:after="60"/>
      </w:pPr>
      <w:r>
        <w:rPr>
          <w:b/>
          <w:bCs/>
          <w:color w:val="0B1F3A"/>
          <w:sz w:val="44"/>
          <w:szCs w:val="44"/>
        </w:rPr>
        <w:t xml:space="preserve">Vendor Risk Management Procedure</w:t>
      </w:r>
    </w:p>
    <w:p>
      <w:pPr>
        <w:pBdr>
          <w:bottom w:val="single" w:color="046BD2" w:sz="12" w:space="6"/>
        </w:pBdr>
        <w:spacing w:after="200"/>
      </w:pPr>
      <w:r>
        <w:rPr>
          <w:color w:val="6B7280"/>
          <w:sz w:val="22"/>
          <w:szCs w:val="22"/>
        </w:rPr>
        <w:t xml:space="preserve">How to assess, approve, contract with, monitor and offboard the suppliers that touch your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Document control</w:t>
            </w:r>
          </w:p>
        </w:tc>
        <w:tc>
          <w:tcPr>
            <w:tcW w:type="dxa" w:w="67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Organization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[Company Name]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Document owner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[Vendor Risk Owner]</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Approved by</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 title]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Version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[1.0]</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Effective date</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Next review</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 at least annually]</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Classification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[Internal]</w:t>
            </w:r>
          </w:p>
        </w:tc>
      </w:tr>
    </w:tbl>
    <w:p>
      <w:pPr>
        <w:spacing w:after="80"/>
      </w:pPr>
    </w:p>
    <w:p>
      <w:pPr>
        <w:pStyle w:val="Heading2"/>
        <w:keepNext/>
      </w:pPr>
      <w:r>
        <w:t xml:space="preserve">How to use this template</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Replace every highlighted [placeholder] with your own details, delete these blue guidance notes, and adapt each section to what your team actually does. Auditors test what you do, not what the document says. Start with your vendor inventory. Tier each vendor first, then apply the steps for its tier.</w:t>
      </w:r>
    </w:p>
    <w:p>
      <w:pPr>
        <w:spacing w:after="120" w:line="276"/>
        <w:jc w:val="left"/>
      </w:pPr>
      <w:r>
        <w:rPr>
          <w:i/>
          <w:iCs/>
          <w:color w:val="6B7280"/>
          <w:sz w:val="18"/>
          <w:szCs w:val="18"/>
        </w:rPr>
        <w:t xml:space="preserve">This template is provided by nank.ai as a starting point. It is not legal advice. Review it with your own advisers before you adopt it.</w:t>
      </w:r>
    </w:p>
    <w:p>
      <w:pPr>
        <w:pStyle w:val="Heading1"/>
        <w:keepNext/>
      </w:pPr>
      <w:r>
        <w:t xml:space="preserve">1. Purpose and scope</w:t>
      </w:r>
    </w:p>
    <w:p>
      <w:pPr>
        <w:spacing w:after="120" w:line="276"/>
        <w:jc w:val="left"/>
      </w:pPr>
      <w:r>
        <w:t xml:space="preserve">This procedure sets out how </w:t>
      </w:r>
      <w:r>
        <w:rPr>
          <w:shd w:fill="FFF1A8" w:color="auto" w:val="clear"/>
        </w:rPr>
        <w:t xml:space="preserve">[Company Name]</w:t>
      </w:r>
      <w:r>
        <w:t xml:space="preserve"> manages the security, privacy and availability risks that come from third parties. It applies to every vendor, contractor, cloud service and subprocessor that stores, processes or can access Company or customer information, or that supports a critical service.</w:t>
      </w:r>
    </w:p>
    <w:p>
      <w:pPr>
        <w:pStyle w:val="Heading1"/>
        <w:keepNext/>
      </w:pPr>
      <w:r>
        <w:t xml:space="preserve">2.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Role</w:t>
            </w:r>
          </w:p>
        </w:tc>
        <w:tc>
          <w:tcPr>
            <w:tcW w:type="dxa" w:w="67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Responsibilities</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Business owner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Requests the vendor, explains the business need, and owns the relationship and the annual review.</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[Vendor Risk Owner]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Runs this procedure, tiers vendors, reviews security evidence and keeps the vendor inventory.</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Legal and procurement</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Makes sure contracts include the required security, privacy and confidentiality terms.</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[Information Security Officer]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Approves high-risk vendors and accepts or rejects residual risk.</w:t>
            </w:r>
          </w:p>
        </w:tc>
      </w:tr>
    </w:tbl>
    <w:p>
      <w:pPr>
        <w:spacing w:after="80"/>
      </w:pPr>
    </w:p>
    <w:p>
      <w:pPr>
        <w:pStyle w:val="Heading1"/>
        <w:keepNext/>
      </w:pPr>
      <w:r>
        <w:t xml:space="preserve">3. Vendor tiering</w:t>
      </w:r>
    </w:p>
    <w:p>
      <w:pPr>
        <w:spacing w:after="120" w:line="276"/>
        <w:jc w:val="left"/>
      </w:pPr>
      <w:r>
        <w:t xml:space="preserve">Every vendor is tiered before onboarding, based on the data it can access and how critical it is to the service.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4560"/>
        <w:gridCol w:w="3300"/>
      </w:tblGrid>
      <w:tr>
        <w:trPr>
          <w:cantSplit/>
          <w:tblHeader/>
        </w:trPr>
        <w:tc>
          <w:tcPr>
            <w:tcW w:type="dxa" w:w="15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w:t>
            </w:r>
          </w:p>
        </w:tc>
        <w:tc>
          <w:tcPr>
            <w:tcW w:type="dxa" w:w="45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Criteria</w:t>
            </w:r>
          </w:p>
        </w:tc>
        <w:tc>
          <w:tcPr>
            <w:tcW w:type="dxa" w:w="33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Examples</w:t>
            </w:r>
          </w:p>
        </w:tc>
      </w:tr>
      <w:tr>
        <w:trPr>
          <w:cantSplit/>
          <w:tblHeader w:val="false"/>
        </w:trPr>
        <w:tc>
          <w:tcPr>
            <w:tcW w:type="dxa" w:w="15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Tier 1</w:t>
            </w:r>
          </w:p>
          <w:p>
            <w:pPr>
              <w:spacing w:after="30"/>
            </w:pPr>
            <w:r>
              <w:rPr>
                <w:sz w:val="19"/>
                <w:szCs w:val="19"/>
              </w:rPr>
              <w:t xml:space="preserve">High</w:t>
            </w:r>
          </w:p>
        </w:tc>
        <w:tc>
          <w:tcPr>
            <w:tcW w:type="dxa" w:w="45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Stores or processes customer data, personal information or health information, or has privileged access to production, or would cause a customer-facing outage if it failed.</w:t>
            </w:r>
          </w:p>
        </w:tc>
        <w:tc>
          <w:tcPr>
            <w:tcW w:type="dxa" w:w="3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Cloud hosting, database or logging services, payment processors, AI model providers that receive customer data, managed service providers.</w:t>
            </w:r>
          </w:p>
        </w:tc>
      </w:tr>
      <w:tr>
        <w:trPr>
          <w:cantSplit/>
          <w:tblHeader w:val="false"/>
        </w:trPr>
        <w:tc>
          <w:tcPr>
            <w:tcW w:type="dxa" w:w="15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Tier 2</w:t>
            </w:r>
          </w:p>
          <w:p>
            <w:pPr>
              <w:spacing w:after="30"/>
            </w:pPr>
            <w:r>
              <w:rPr>
                <w:sz w:val="19"/>
                <w:szCs w:val="19"/>
              </w:rPr>
              <w:t xml:space="preserve">Medium</w:t>
            </w:r>
          </w:p>
        </w:tc>
        <w:tc>
          <w:tcPr>
            <w:tcW w:type="dxa" w:w="45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Accesses internal confidential information, or supports an important internal process, but not customer data or production.</w:t>
            </w:r>
          </w:p>
        </w:tc>
        <w:tc>
          <w:tcPr>
            <w:tcW w:type="dxa" w:w="3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HR and payroll systems, CRM, code repositories, ticketing tools.</w:t>
            </w:r>
          </w:p>
        </w:tc>
      </w:tr>
      <w:tr>
        <w:trPr>
          <w:cantSplit/>
          <w:tblHeader w:val="false"/>
        </w:trPr>
        <w:tc>
          <w:tcPr>
            <w:tcW w:type="dxa" w:w="15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Tier 3</w:t>
            </w:r>
          </w:p>
          <w:p>
            <w:pPr>
              <w:spacing w:after="30"/>
            </w:pPr>
            <w:r>
              <w:rPr>
                <w:sz w:val="19"/>
                <w:szCs w:val="19"/>
              </w:rPr>
              <w:t xml:space="preserve">Low</w:t>
            </w:r>
          </w:p>
        </w:tc>
        <w:tc>
          <w:tcPr>
            <w:tcW w:type="dxa" w:w="45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 access to confidential information and no effect on the service if it fails.</w:t>
            </w:r>
          </w:p>
        </w:tc>
        <w:tc>
          <w:tcPr>
            <w:tcW w:type="dxa" w:w="33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Office supplies, event services, public website analytics with no personal data.</w:t>
            </w:r>
          </w:p>
        </w:tc>
      </w:tr>
    </w:tbl>
    <w:p>
      <w:pPr>
        <w:spacing w:after="80"/>
      </w:pPr>
    </w:p>
    <w:p>
      <w:pPr>
        <w:pStyle w:val="Heading1"/>
        <w:keepNext/>
      </w:pPr>
      <w:r>
        <w:t xml:space="preserve">4. Due diligence before onboarding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2080"/>
        <w:gridCol w:w="2080"/>
        <w:gridCol w:w="2080"/>
      </w:tblGrid>
      <w:tr>
        <w:trPr>
          <w:cantSplit/>
          <w:tblHeader/>
        </w:trPr>
        <w:tc>
          <w:tcPr>
            <w:tcW w:type="dxa" w:w="312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Evidence</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1</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2</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3</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Current SOC 2 Type II report or ISO/IEC 27001 certificate</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Preferred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Security questionnaire, such as </w:t>
            </w:r>
            <w:r>
              <w:rPr>
                <w:sz w:val="19"/>
                <w:szCs w:val="19"/>
                <w:shd w:fill="FFF1A8" w:color="auto" w:val="clear"/>
              </w:rPr>
              <w:t xml:space="preserve">[SIG Lite or CAIQ]</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 if no report</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 if no report</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Privacy review and data processing terms</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If personal information</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Business associate agreement (HIPAA)</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If PHI</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If PHI</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Data location and subprocessor list</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Preferred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Business continuity and recovery commitments</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Required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Preferred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Approval</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Information Security Officer</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Vendor Risk Owner</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Business owner</w:t>
            </w:r>
          </w:p>
        </w:tc>
      </w:tr>
    </w:tbl>
    <w:p>
      <w:pPr>
        <w:spacing w:after="80"/>
      </w:pPr>
    </w:p>
    <w:p>
      <w:pPr>
        <w:spacing w:after="120" w:line="276"/>
        <w:jc w:val="left"/>
      </w:pPr>
      <w:r>
        <w:t xml:space="preserve">When reviewing a SOC 2 report, the reviewer confirms that:</w:t>
      </w:r>
    </w:p>
    <w:p>
      <w:pPr>
        <w:pStyle w:val="ListParagraph"/>
        <w:numPr>
          <w:ilvl w:val="0"/>
          <w:numId w:val="2"/>
        </w:numPr>
        <w:spacing w:after="80" w:line="276"/>
      </w:pPr>
      <w:r>
        <w:t xml:space="preserve">the report covers the service you are buying and is current, or is backed by a bridge letter;</w:t>
      </w:r>
    </w:p>
    <w:p>
      <w:pPr>
        <w:pStyle w:val="ListParagraph"/>
        <w:numPr>
          <w:ilvl w:val="0"/>
          <w:numId w:val="2"/>
        </w:numPr>
        <w:spacing w:after="80" w:line="276"/>
      </w:pPr>
      <w:r>
        <w:t xml:space="preserve">the opinion is unqualified, and any exceptions are understood and acceptable;</w:t>
      </w:r>
    </w:p>
    <w:p>
      <w:pPr>
        <w:pStyle w:val="ListParagraph"/>
        <w:numPr>
          <w:ilvl w:val="0"/>
          <w:numId w:val="2"/>
        </w:numPr>
        <w:spacing w:after="80" w:line="276"/>
      </w:pPr>
      <w:r>
        <w:t xml:space="preserve">the subservice organizations, such as the vendor's own cloud provider, are known; and</w:t>
      </w:r>
    </w:p>
    <w:p>
      <w:pPr>
        <w:pStyle w:val="ListParagraph"/>
        <w:numPr>
          <w:ilvl w:val="0"/>
          <w:numId w:val="2"/>
        </w:numPr>
        <w:spacing w:after="80" w:line="276"/>
      </w:pPr>
      <w:r>
        <w:t xml:space="preserve">the complementary user entity controls (CUECs) are listed and mapped to your own controls.</w:t>
      </w:r>
    </w:p>
    <w:p>
      <w:pPr>
        <w:pStyle w:val="Heading1"/>
        <w:keepNext/>
      </w:pPr>
      <w:r>
        <w:t xml:space="preserve">5. Contract requirements</w:t>
      </w:r>
    </w:p>
    <w:p>
      <w:pPr>
        <w:spacing w:after="120" w:line="276"/>
        <w:jc w:val="left"/>
      </w:pPr>
      <w:r>
        <w:t xml:space="preserve">Contracts with Tier 1 and Tier 2 vendors include, as appropriate:</w:t>
      </w:r>
    </w:p>
    <w:p>
      <w:pPr>
        <w:pStyle w:val="ListParagraph"/>
        <w:numPr>
          <w:ilvl w:val="0"/>
          <w:numId w:val="2"/>
        </w:numPr>
        <w:spacing w:after="80" w:line="276"/>
      </w:pPr>
      <w:r>
        <w:t xml:space="preserve">confidentiality obligations that survive termination;</w:t>
      </w:r>
    </w:p>
    <w:p>
      <w:pPr>
        <w:pStyle w:val="ListParagraph"/>
        <w:numPr>
          <w:ilvl w:val="0"/>
          <w:numId w:val="2"/>
        </w:numPr>
        <w:spacing w:after="80" w:line="276"/>
      </w:pPr>
      <w:r>
        <w:t xml:space="preserve">security requirements, at least equal to the Company's own standards;</w:t>
      </w:r>
    </w:p>
    <w:p>
      <w:pPr>
        <w:pStyle w:val="ListParagraph"/>
        <w:numPr>
          <w:ilvl w:val="0"/>
          <w:numId w:val="2"/>
        </w:numPr>
        <w:spacing w:after="80" w:line="276"/>
      </w:pPr>
      <w:r>
        <w:t xml:space="preserve">breach notification to the Company within </w:t>
      </w:r>
      <w:r>
        <w:rPr>
          <w:shd w:fill="FFF1A8" w:color="auto" w:val="clear"/>
        </w:rPr>
        <w:t xml:space="preserve">[48 or 72 hours]</w:t>
      </w:r>
      <w:r>
        <w:t xml:space="preserve"> of discovery;</w:t>
      </w:r>
    </w:p>
    <w:p>
      <w:pPr>
        <w:pStyle w:val="ListParagraph"/>
        <w:numPr>
          <w:ilvl w:val="0"/>
          <w:numId w:val="2"/>
        </w:numPr>
        <w:spacing w:after="80" w:line="276"/>
      </w:pPr>
      <w:r>
        <w:t xml:space="preserve">limits on use of Company data to the purpose of the contract, and no use to train AI models without written consent;</w:t>
      </w:r>
    </w:p>
    <w:p>
      <w:pPr>
        <w:pStyle w:val="ListParagraph"/>
        <w:numPr>
          <w:ilvl w:val="0"/>
          <w:numId w:val="2"/>
        </w:numPr>
        <w:spacing w:after="80" w:line="276"/>
      </w:pPr>
      <w:r>
        <w:t xml:space="preserve">approval or notice of subprocessors, and flow-down of the same obligations;</w:t>
      </w:r>
    </w:p>
    <w:p>
      <w:pPr>
        <w:pStyle w:val="ListParagraph"/>
        <w:numPr>
          <w:ilvl w:val="0"/>
          <w:numId w:val="2"/>
        </w:numPr>
        <w:spacing w:after="80" w:line="276"/>
      </w:pPr>
      <w:r>
        <w:t xml:space="preserve">right to receive audit reports, or to audit, on reasonable notice;</w:t>
      </w:r>
    </w:p>
    <w:p>
      <w:pPr>
        <w:pStyle w:val="ListParagraph"/>
        <w:numPr>
          <w:ilvl w:val="0"/>
          <w:numId w:val="2"/>
        </w:numPr>
        <w:spacing w:after="80" w:line="276"/>
      </w:pPr>
      <w:r>
        <w:t xml:space="preserve">data return and secure deletion at the end of the contract, with written confirmation;</w:t>
      </w:r>
    </w:p>
    <w:p>
      <w:pPr>
        <w:pStyle w:val="ListParagraph"/>
        <w:numPr>
          <w:ilvl w:val="0"/>
          <w:numId w:val="2"/>
        </w:numPr>
        <w:spacing w:after="80" w:line="276"/>
      </w:pPr>
      <w:r>
        <w:t xml:space="preserve">data processing terms that meet PIPEDA, Quebec Law 25, US state privacy laws or GDPR where they apply; and</w:t>
      </w:r>
    </w:p>
    <w:p>
      <w:pPr>
        <w:pStyle w:val="ListParagraph"/>
        <w:numPr>
          <w:ilvl w:val="0"/>
          <w:numId w:val="2"/>
        </w:numPr>
        <w:spacing w:after="80" w:line="276"/>
      </w:pPr>
      <w:r>
        <w:t xml:space="preserve">a business associate agreement where the vendor handles protected health information.</w:t>
      </w:r>
    </w:p>
    <w:p>
      <w:pPr>
        <w:pStyle w:val="Heading1"/>
        <w:keepNext/>
      </w:pPr>
      <w:r>
        <w:t xml:space="preserve">6. Ongoing monitoring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2080"/>
        <w:gridCol w:w="2080"/>
        <w:gridCol w:w="2080"/>
      </w:tblGrid>
      <w:tr>
        <w:trPr>
          <w:cantSplit/>
          <w:tblHeader/>
        </w:trPr>
        <w:tc>
          <w:tcPr>
            <w:tcW w:type="dxa" w:w="312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Activity</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1</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2</w:t>
            </w:r>
          </w:p>
        </w:tc>
        <w:tc>
          <w:tcPr>
            <w:tcW w:type="dxa" w:w="20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Tier 3</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Review of SOC report or certificate</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Annually</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Annually</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Performance and risk review</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Annually</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Every 2 years</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When renewed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Check of CUECs against your controls</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Annually</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r>
        <w:trPr>
          <w:cantSplit/>
          <w:tblHeader w:val="false"/>
        </w:trPr>
        <w:tc>
          <w:tcPr>
            <w:tcW w:type="dxa" w:w="312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Monitoring for breaches and news</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Ongoing</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Ongoing</w:t>
            </w:r>
          </w:p>
        </w:tc>
        <w:tc>
          <w:tcPr>
            <w:tcW w:type="dxa" w:w="20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Not needed</w:t>
            </w:r>
          </w:p>
        </w:tc>
      </w:tr>
    </w:tbl>
    <w:p>
      <w:pPr>
        <w:spacing w:after="80"/>
      </w:pPr>
    </w:p>
    <w:p>
      <w:pPr>
        <w:spacing w:after="120" w:line="276"/>
        <w:jc w:val="left"/>
      </w:pPr>
      <w:r>
        <w:t xml:space="preserve">Findings are recorded in the vendor inventory. If a vendor no longer meets the Company's requirements, the business owner agrees a corrective action plan with the vendor, or the Company plans to replace it.</w:t>
      </w:r>
    </w:p>
    <w:p>
      <w:pPr>
        <w:pStyle w:val="Heading1"/>
        <w:keepNext/>
      </w:pPr>
      <w:r>
        <w:t xml:space="preserve">7. Offboarding</w:t>
      </w:r>
    </w:p>
    <w:p>
      <w:pPr>
        <w:pStyle w:val="ListParagraph"/>
        <w:numPr>
          <w:ilvl w:val="0"/>
          <w:numId w:val="2"/>
        </w:numPr>
        <w:spacing w:after="80" w:line="276"/>
      </w:pPr>
      <w:r>
        <w:t xml:space="preserve">Revoke all vendor accounts, API keys, integrations and network access.</w:t>
      </w:r>
    </w:p>
    <w:p>
      <w:pPr>
        <w:pStyle w:val="ListParagraph"/>
        <w:numPr>
          <w:ilvl w:val="0"/>
          <w:numId w:val="2"/>
        </w:numPr>
        <w:spacing w:after="80" w:line="276"/>
      </w:pPr>
      <w:r>
        <w:t xml:space="preserve">Request return or deletion of Company data and obtain written confirmation.</w:t>
      </w:r>
    </w:p>
    <w:p>
      <w:pPr>
        <w:pStyle w:val="ListParagraph"/>
        <w:numPr>
          <w:ilvl w:val="0"/>
          <w:numId w:val="2"/>
        </w:numPr>
        <w:spacing w:after="80" w:line="276"/>
      </w:pPr>
      <w:r>
        <w:t xml:space="preserve">Remove the vendor from the subprocessor list and update customer notices if required.</w:t>
      </w:r>
    </w:p>
    <w:p>
      <w:pPr>
        <w:pStyle w:val="ListParagraph"/>
        <w:numPr>
          <w:ilvl w:val="0"/>
          <w:numId w:val="2"/>
        </w:numPr>
        <w:spacing w:after="80" w:line="276"/>
      </w:pPr>
      <w:r>
        <w:t xml:space="preserve">Update the vendor inventory with the end date and the evidence of deletion.</w:t>
      </w:r>
    </w:p>
    <w:p>
      <w:pPr>
        <w:pStyle w:val="Heading1"/>
        <w:keepNext/>
      </w:pPr>
      <w:r>
        <w:t xml:space="preserve">8. Vendor inventory</w:t>
      </w:r>
    </w:p>
    <w:p>
      <w:pPr>
        <w:spacing w:after="120" w:line="276"/>
        <w:jc w:val="left"/>
      </w:pPr>
      <w:r>
        <w:t xml:space="preserve">The </w:t>
      </w:r>
      <w:r>
        <w:rPr>
          <w:shd w:fill="FFF1A8" w:color="auto" w:val="clear"/>
        </w:rPr>
        <w:t xml:space="preserve">[Vendor Risk Owner]</w:t>
      </w:r>
      <w:r>
        <w:t xml:space="preserve"> maintains a vendor inventory with at least the following 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blHeader/>
        </w:trPr>
        <w:tc>
          <w:tcPr>
            <w:tcW w:type="dxa" w:w="30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Field</w:t>
            </w:r>
          </w:p>
        </w:tc>
        <w:tc>
          <w:tcPr>
            <w:tcW w:type="dxa" w:w="63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Description</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Vendor and service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Legal name and the service provided</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Business owner</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Person accountable for the relationship</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Tier</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1, 2 or 3, with the reason</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Data accessed</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Customer data, personal information, PHI, internal only, or none</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Data location</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Countries where data is stored or processed</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Assurance evidence</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Report type, period and date reviewed</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Contract dates</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Start, renewal and termination dates</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Last review and next review</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Dates and outcome</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Status</w:t>
            </w:r>
          </w:p>
        </w:tc>
        <w:tc>
          <w:tcPr>
            <w:tcW w:type="dxa" w:w="63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Active, under review or offboarded</w:t>
            </w:r>
          </w:p>
        </w:tc>
      </w:tr>
    </w:tbl>
    <w:p>
      <w:pPr>
        <w:spacing w:after="80"/>
      </w:pPr>
    </w:p>
    <w:p>
      <w:pPr>
        <w:pStyle w:val="Heading1"/>
        <w:keepNext/>
      </w:pPr>
      <w:r>
        <w:t xml:space="preserve">Appendix: framework mapping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cantSplit/>
          <w:tblHeader/>
        </w:trPr>
        <w:tc>
          <w:tcPr>
            <w:tcW w:type="dxa" w:w="30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Procedure section</w:t>
            </w:r>
          </w:p>
        </w:tc>
        <w:tc>
          <w:tcPr>
            <w:tcW w:type="dxa" w:w="31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SOC 2 (2017 TSC)</w:t>
            </w:r>
          </w:p>
        </w:tc>
        <w:tc>
          <w:tcPr>
            <w:tcW w:type="dxa" w:w="31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ISO/IEC 27001:2022</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3 and 4 Tiering and due diligence</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 CC3.2</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5.19</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 Contracts</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 CC2.3</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5.20</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4 Subservice organizations</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5.21</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6 Monitoring</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 CC4.1</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5.22</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7 Offboarding</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 CC6.2</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5.22, 8.10</w:t>
            </w:r>
          </w:p>
        </w:tc>
      </w:tr>
      <w:tr>
        <w:trPr>
          <w:cantSplit/>
          <w:tblHeader w:val="false"/>
        </w:trPr>
        <w:tc>
          <w:tcPr>
            <w:tcW w:type="dxa" w:w="30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Cloud services</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w:t>
            </w:r>
          </w:p>
        </w:tc>
        <w:tc>
          <w:tcPr>
            <w:tcW w:type="dxa" w:w="31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5.23</w:t>
            </w:r>
          </w:p>
        </w:tc>
      </w:tr>
    </w:tbl>
    <w:sectPr>
      <w:headerReference w:type="default" r:id="rId7"/>
      <w:footerReference w:type="default" r:id="rId8"/>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Template from nank.ai  |  Page </w:t>
    </w:r>
    <w:r>
      <w:rPr>
        <w:color w:val="6B7280"/>
        <w:sz w:val="16"/>
        <w:szCs w:val="16"/>
      </w:rPr>
      <w:fldChar w:fldCharType="begin"/>
      <w:instrText xml:space="preserve">PAGE</w:instrText>
      <w:fldChar w:fldCharType="separate"/>
      <w:fldChar w:fldCharType="end"/>
    </w:r>
    <w:r>
      <w:rPr>
        <w:color w:val="6B7280"/>
        <w:sz w:val="16"/>
        <w:szCs w:val="16"/>
      </w:rPr>
      <w:t xml:space="preserve"> of </w:t>
    </w:r>
    <w:r>
      <w:rPr>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[Company Name]  |  Vendor Risk Management Procedure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Calibri" w:cs="Calibri" w:eastAsia="Calibri" w:hAnsi="Calibri"/>
      <w:b/>
      <w:bCs/>
      <w:color w:val="0B1F3A"/>
      <w:sz w:val="28"/>
      <w:szCs w:val="28"/>
    </w:rPr>
  </w:style>
  <w:style w:type="paragraph" w:styleId="Heading2">
    <w:name w:val="Heading 2"/>
    <w:basedOn w:val="Normal"/>
    <w:next w:val="Normal"/>
    <w:qFormat/>
    <w:pPr>
      <w:spacing w:after="100" w:before="200"/>
      <w:outlineLvl w:val="1"/>
    </w:pPr>
    <w:rPr>
      <w:rFonts w:ascii="Calibri" w:cs="Calibri" w:eastAsia="Calibri" w:hAnsi="Calibri"/>
      <w:b/>
      <w:bCs/>
      <w:color w:val="046BD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Risk Management Procedure (Template)</dc:title>
  <dc:creator>nank.ai</dc:creator>
  <cp:lastModifiedBy>Un-named</cp:lastModifiedBy>
  <cp:revision>1</cp:revision>
  <dcterms:created xsi:type="dcterms:W3CDTF">2026-10-02T00:18:50.918Z</dcterms:created>
  <dcterms:modified xsi:type="dcterms:W3CDTF">2026-10-02T00:18:50.918Z</dcterms:modified>
</cp:coreProperties>
</file>

<file path=docProps/custom.xml><?xml version="1.0" encoding="utf-8"?>
<Properties xmlns="http://schemas.openxmlformats.org/officeDocument/2006/custom-properties" xmlns:vt="http://schemas.openxmlformats.org/officeDocument/2006/docPropsVTypes"/>
</file>