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46BD2"/>
          <w:sz w:val="20"/>
          <w:szCs w:val="20"/>
        </w:rPr>
        <w:t xml:space="preserve">nank.ai  ·  Policy template</w:t>
      </w:r>
    </w:p>
    <w:p>
      <w:pPr>
        <w:spacing w:after="60"/>
      </w:pPr>
      <w:r>
        <w:rPr>
          <w:b/>
          <w:bCs/>
          <w:color w:val="0B1F3A"/>
          <w:sz w:val="44"/>
          <w:szCs w:val="44"/>
        </w:rPr>
        <w:t xml:space="preserve">Information Security Policy</w:t>
      </w:r>
    </w:p>
    <w:p>
      <w:pPr>
        <w:pBdr>
          <w:bottom w:val="single" w:color="046BD2" w:sz="12" w:space="6"/>
        </w:pBdr>
        <w:spacing w:after="200"/>
      </w:pPr>
      <w:r>
        <w:rPr>
          <w:color w:val="6B7280"/>
          <w:sz w:val="22"/>
          <w:szCs w:val="22"/>
        </w:rPr>
        <w:t xml:space="preserve">The top-level policy for your security program. Maps to SOC 2 and ISO/IEC 27001:2022.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Document control</w:t>
            </w:r>
          </w:p>
        </w:tc>
        <w:tc>
          <w:tcPr>
            <w:tcW w:type="dxa" w:w="67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Organization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[Company Name]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Document owner</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[Information Security Officer]</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Approved by</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[Name, title]</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Version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[1.0]</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Effective date</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Next review</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[YYYY-MM-DD, at least annually]</w:t>
            </w:r>
          </w:p>
        </w:tc>
      </w:tr>
      <w:tr>
        <w:trPr>
          <w:cantSplit/>
          <w:tblHeader w:val="false"/>
        </w:trPr>
        <w:tc>
          <w:tcPr>
            <w:tcW w:type="dxa" w:w="26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Classification</w:t>
            </w:r>
          </w:p>
        </w:tc>
        <w:tc>
          <w:tcPr>
            <w:tcW w:type="dxa" w:w="67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[Internal]</w:t>
            </w:r>
          </w:p>
        </w:tc>
      </w:tr>
    </w:tbl>
    <w:p>
      <w:pPr>
        <w:spacing w:after="80"/>
      </w:pPr>
    </w:p>
    <w:p>
      <w:pPr>
        <w:pStyle w:val="Heading2"/>
        <w:keepNext/>
      </w:pPr>
      <w:r>
        <w:t xml:space="preserve">How to use this template</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Replace every highlighted [placeholder] with your own details, delete these blue guidance notes, and adapt each section to what your team actually does. Auditors test what you do, not what the document says. Keep this policy short and high level. Put the detail in the topic-specific policies and procedures it refers to.</w:t>
      </w:r>
    </w:p>
    <w:p>
      <w:pPr>
        <w:spacing w:after="120" w:line="276"/>
        <w:jc w:val="left"/>
      </w:pPr>
      <w:r>
        <w:rPr>
          <w:i/>
          <w:iCs/>
          <w:color w:val="6B7280"/>
          <w:sz w:val="18"/>
          <w:szCs w:val="18"/>
        </w:rPr>
        <w:t xml:space="preserve">This template is provided by nank.ai as a starting point. It is not legal advice. Review it with your own advisers before you adopt it.</w:t>
      </w:r>
    </w:p>
    <w:p>
      <w:pPr>
        <w:pStyle w:val="Heading1"/>
        <w:keepNext/>
      </w:pPr>
      <w:r>
        <w:t xml:space="preserve">1. Purpose</w:t>
      </w:r>
    </w:p>
    <w:p>
      <w:pPr>
        <w:spacing w:after="120" w:line="276"/>
        <w:jc w:val="left"/>
      </w:pPr>
      <w:r>
        <w:t xml:space="preserve">This policy sets out how </w:t>
      </w:r>
      <w:r>
        <w:rPr>
          <w:shd w:fill="FFF1A8" w:color="auto" w:val="clear"/>
        </w:rPr>
        <w:t xml:space="preserve">[Company Name]</w:t>
      </w:r>
      <w:r>
        <w:t xml:space="preserve"> ("the Company") protects the confidentiality, integrity and availability of its information and the information its customers entrust to it. It states management's commitment to information security and sets the rules that every topic-specific policy and procedure must follow.</w:t>
      </w:r>
    </w:p>
    <w:p>
      <w:pPr>
        <w:pStyle w:val="Heading1"/>
        <w:keepNext/>
      </w:pPr>
      <w:r>
        <w:t xml:space="preserve">2. Scope</w:t>
      </w:r>
    </w:p>
    <w:p>
      <w:pPr>
        <w:spacing w:after="120" w:line="276"/>
        <w:jc w:val="left"/>
      </w:pPr>
      <w:r>
        <w:t xml:space="preserve">This policy applies to:</w:t>
      </w:r>
    </w:p>
    <w:p>
      <w:pPr>
        <w:pStyle w:val="ListParagraph"/>
        <w:numPr>
          <w:ilvl w:val="0"/>
          <w:numId w:val="2"/>
        </w:numPr>
        <w:spacing w:after="80" w:line="276"/>
      </w:pPr>
      <w:r>
        <w:t xml:space="preserve">all employees, contractors, interns and third parties who access Company information or systems ("personnel");</w:t>
      </w:r>
    </w:p>
    <w:p>
      <w:pPr>
        <w:pStyle w:val="ListParagraph"/>
        <w:numPr>
          <w:ilvl w:val="0"/>
          <w:numId w:val="2"/>
        </w:numPr>
        <w:spacing w:after="80" w:line="276"/>
      </w:pPr>
      <w:r>
        <w:t xml:space="preserve">all information the Company creates, receives, stores or processes, in any form, including customer data; and</w:t>
      </w:r>
    </w:p>
    <w:p>
      <w:pPr>
        <w:pStyle w:val="ListParagraph"/>
        <w:numPr>
          <w:ilvl w:val="0"/>
          <w:numId w:val="2"/>
        </w:numPr>
        <w:spacing w:after="80" w:line="276"/>
      </w:pPr>
      <w:r>
        <w:t xml:space="preserve">all systems, applications, cloud services, devices and locations used to process that information, including </w:t>
      </w:r>
      <w:r>
        <w:rPr>
          <w:shd w:fill="FFF1A8" w:color="auto" w:val="clear"/>
        </w:rPr>
        <w:t xml:space="preserve">[list in-scope products, platforms and cloud providers]</w:t>
      </w:r>
      <w:r>
        <w:t xml:space="preserve">.</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Match this scope to the system description in your SOC 2 report or the ISMS scope statement under ISO/IEC 27001 Clause 4.3.</w:t>
      </w:r>
    </w:p>
    <w:p>
      <w:pPr>
        <w:pStyle w:val="Heading1"/>
        <w:keepNext/>
      </w:pPr>
      <w:r>
        <w:t xml:space="preserve">3. Information security objectives</w:t>
      </w:r>
    </w:p>
    <w:p>
      <w:pPr>
        <w:spacing w:after="120" w:line="276"/>
        <w:jc w:val="left"/>
      </w:pPr>
      <w:r>
        <w:t xml:space="preserve">The Company will:</w:t>
      </w:r>
    </w:p>
    <w:p>
      <w:pPr>
        <w:pStyle w:val="ListParagraph"/>
        <w:numPr>
          <w:ilvl w:val="0"/>
          <w:numId w:val="2"/>
        </w:numPr>
        <w:spacing w:after="80" w:line="276"/>
      </w:pPr>
      <w:r>
        <w:t xml:space="preserve">protect customer and Company information from unauthorized access, disclosure, change or loss;</w:t>
      </w:r>
    </w:p>
    <w:p>
      <w:pPr>
        <w:pStyle w:val="ListParagraph"/>
        <w:numPr>
          <w:ilvl w:val="0"/>
          <w:numId w:val="2"/>
        </w:numPr>
        <w:spacing w:after="80" w:line="276"/>
      </w:pPr>
      <w:r>
        <w:t xml:space="preserve">meet its legal, regulatory and contractual obligations, including </w:t>
      </w:r>
      <w:r>
        <w:rPr>
          <w:shd w:fill="FFF1A8" w:color="auto" w:val="clear"/>
        </w:rPr>
        <w:t xml:space="preserve">[list the laws and contracts that apply, such as PIPEDA, Quebec Law 25, HIPAA, state privacy laws or customer security terms]</w:t>
      </w:r>
      <w:r>
        <w:t xml:space="preserve">;</w:t>
      </w:r>
    </w:p>
    <w:p>
      <w:pPr>
        <w:pStyle w:val="ListParagraph"/>
        <w:numPr>
          <w:ilvl w:val="0"/>
          <w:numId w:val="2"/>
        </w:numPr>
        <w:spacing w:after="80" w:line="276"/>
      </w:pPr>
      <w:r>
        <w:t xml:space="preserve">keep its services available in line with its commitments to customers;</w:t>
      </w:r>
    </w:p>
    <w:p>
      <w:pPr>
        <w:pStyle w:val="ListParagraph"/>
        <w:numPr>
          <w:ilvl w:val="0"/>
          <w:numId w:val="2"/>
        </w:numPr>
        <w:spacing w:after="80" w:line="276"/>
      </w:pPr>
      <w:r>
        <w:t xml:space="preserve">manage information security risk to a level management has accepted; and</w:t>
      </w:r>
    </w:p>
    <w:p>
      <w:pPr>
        <w:pStyle w:val="ListParagraph"/>
        <w:numPr>
          <w:ilvl w:val="0"/>
          <w:numId w:val="2"/>
        </w:numPr>
        <w:spacing w:after="80" w:line="276"/>
      </w:pPr>
      <w:r>
        <w:t xml:space="preserve">improve the security program continually, based on risk, incidents, audits and feedback.</w:t>
      </w:r>
    </w:p>
    <w:p>
      <w:pPr>
        <w:spacing w:after="120" w:line="276"/>
        <w:jc w:val="left"/>
      </w:pPr>
      <w:r>
        <w:t xml:space="preserve">Management sets measurable security objectives each year and reviews progress at the management review.</w:t>
      </w:r>
    </w:p>
    <w:p>
      <w:pPr>
        <w:pStyle w:val="Heading1"/>
        <w:keepNext/>
      </w:pPr>
      <w:r>
        <w:t xml:space="preserve">4.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blHeader/>
        </w:trPr>
        <w:tc>
          <w:tcPr>
            <w:tcW w:type="dxa" w:w="27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Role</w:t>
            </w:r>
          </w:p>
        </w:tc>
        <w:tc>
          <w:tcPr>
            <w:tcW w:type="dxa" w:w="666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Responsibilities</w:t>
            </w:r>
          </w:p>
        </w:tc>
      </w:tr>
      <w:tr>
        <w:trPr>
          <w:cantSplit/>
          <w:tblHeader w:val="false"/>
        </w:trPr>
        <w:tc>
          <w:tcPr>
            <w:tcW w:type="dxa" w:w="27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Executive management</w:t>
            </w:r>
          </w:p>
        </w:tc>
        <w:tc>
          <w:tcPr>
            <w:tcW w:type="dxa" w:w="66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Approves this policy, sets risk appetite, provides resources, and reviews the security program at least annually.</w:t>
            </w:r>
          </w:p>
        </w:tc>
      </w:tr>
      <w:tr>
        <w:trPr>
          <w:cantSplit/>
          <w:tblHeader w:val="false"/>
        </w:trPr>
        <w:tc>
          <w:tcPr>
            <w:tcW w:type="dxa" w:w="27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shd w:fill="FFF1A8" w:color="auto" w:val="clear"/>
              </w:rPr>
              <w:t xml:space="preserve">[Information Security Officer]</w:t>
            </w:r>
          </w:p>
        </w:tc>
        <w:tc>
          <w:tcPr>
            <w:tcW w:type="dxa" w:w="66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Owns this policy and the security program, coordinates risk assessments, monitors controls, reports to management, and leads incident response.</w:t>
            </w:r>
          </w:p>
        </w:tc>
      </w:tr>
      <w:tr>
        <w:trPr>
          <w:cantSplit/>
          <w:tblHeader w:val="false"/>
        </w:trPr>
        <w:tc>
          <w:tcPr>
            <w:tcW w:type="dxa" w:w="27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System and data owners</w:t>
            </w:r>
          </w:p>
        </w:tc>
        <w:tc>
          <w:tcPr>
            <w:tcW w:type="dxa" w:w="66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Classify their information, approve access, and make sure the controls for their systems operate.</w:t>
            </w:r>
          </w:p>
        </w:tc>
      </w:tr>
      <w:tr>
        <w:trPr>
          <w:cantSplit/>
          <w:tblHeader w:val="false"/>
        </w:trPr>
        <w:tc>
          <w:tcPr>
            <w:tcW w:type="dxa" w:w="27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Managers</w:t>
            </w:r>
          </w:p>
        </w:tc>
        <w:tc>
          <w:tcPr>
            <w:tcW w:type="dxa" w:w="66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Make sure their teams understand and follow this policy, and request and remove access promptly.</w:t>
            </w:r>
          </w:p>
        </w:tc>
      </w:tr>
      <w:tr>
        <w:trPr>
          <w:cantSplit/>
          <w:tblHeader w:val="false"/>
        </w:trPr>
        <w:tc>
          <w:tcPr>
            <w:tcW w:type="dxa" w:w="27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All personnel</w:t>
            </w:r>
          </w:p>
        </w:tc>
        <w:tc>
          <w:tcPr>
            <w:tcW w:type="dxa" w:w="666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Follow this policy and related procedures, complete security training, protect their credentials, and report suspected incidents immediately.</w:t>
            </w:r>
          </w:p>
        </w:tc>
      </w:tr>
    </w:tbl>
    <w:p>
      <w:pPr>
        <w:spacing w:after="80"/>
      </w:pPr>
    </w:p>
    <w:p>
      <w:pPr>
        <w:pStyle w:val="Heading1"/>
        <w:keepNext/>
      </w:pPr>
      <w:r>
        <w:t xml:space="preserve">5. Policy statements</w:t>
      </w:r>
    </w:p>
    <w:p>
      <w:pPr>
        <w:spacing w:after="120" w:line="276"/>
        <w:jc w:val="left"/>
      </w:pPr>
      <w:r>
        <w:t xml:space="preserve">The Company maintains the following controls. Each area is supported by a topic-specific policy or procedure.</w:t>
      </w:r>
    </w:p>
    <w:p>
      <w:pPr>
        <w:pStyle w:val="Heading2"/>
        <w:keepNext/>
      </w:pPr>
      <w:r>
        <w:t xml:space="preserve">5.1 Risk management</w:t>
      </w:r>
    </w:p>
    <w:p>
      <w:pPr>
        <w:spacing w:after="120" w:line="276"/>
        <w:jc w:val="left"/>
      </w:pPr>
      <w:r>
        <w:t xml:space="preserve">The Company identifies, assesses and treats information security risks at least annually and after significant changes. Risks are recorded in a risk register with an owner, a rating and a treatment plan. See the </w:t>
      </w:r>
      <w:r>
        <w:rPr>
          <w:shd w:fill="FFF1A8" w:color="auto" w:val="clear"/>
        </w:rPr>
        <w:t xml:space="preserve">[Risk Management Procedure]</w:t>
      </w:r>
      <w:r>
        <w:t xml:space="preserve">.</w:t>
      </w:r>
    </w:p>
    <w:p>
      <w:pPr>
        <w:pStyle w:val="Heading2"/>
        <w:keepNext/>
      </w:pPr>
      <w:r>
        <w:t xml:space="preserve">5.2 Asset management</w:t>
      </w:r>
    </w:p>
    <w:p>
      <w:pPr>
        <w:spacing w:after="120" w:line="276"/>
        <w:jc w:val="left"/>
      </w:pPr>
      <w:r>
        <w:t xml:space="preserve">The Company keeps an inventory of information assets, systems and devices, with an owner for each. Information is classified as </w:t>
      </w:r>
      <w:r>
        <w:rPr>
          <w:shd w:fill="FFF1A8" w:color="auto" w:val="clear"/>
        </w:rPr>
        <w:t xml:space="preserve">[Public, Internal, Confidential or Restricted]</w:t>
      </w:r>
      <w:r>
        <w:t xml:space="preserve"> and handled according to its classification.</w:t>
      </w:r>
    </w:p>
    <w:p>
      <w:pPr>
        <w:pStyle w:val="Heading2"/>
        <w:keepNext/>
      </w:pPr>
      <w:r>
        <w:t xml:space="preserve">5.3 Human resources security</w:t>
      </w:r>
    </w:p>
    <w:p>
      <w:pPr>
        <w:spacing w:after="120" w:line="276"/>
        <w:jc w:val="left"/>
      </w:pPr>
      <w:r>
        <w:t xml:space="preserve">Personnel pass background checks before they start, where the law allows, sign confidentiality terms, and complete security awareness training at onboarding and annually. Access is removed promptly when someone leaves or changes role.</w:t>
      </w:r>
    </w:p>
    <w:p>
      <w:pPr>
        <w:pStyle w:val="Heading2"/>
        <w:keepNext/>
      </w:pPr>
      <w:r>
        <w:t xml:space="preserve">5.4 Access control</w:t>
      </w:r>
    </w:p>
    <w:p>
      <w:pPr>
        <w:spacing w:after="120" w:line="276"/>
        <w:jc w:val="left"/>
      </w:pPr>
      <w:r>
        <w:t xml:space="preserve">Access follows least privilege and need to know. Every user has a unique ID. Multi-factor authentication is required for remote access, administrative access and all production systems. Access is requested, approved and reviewed at least </w:t>
      </w:r>
      <w:r>
        <w:rPr>
          <w:shd w:fill="FFF1A8" w:color="auto" w:val="clear"/>
        </w:rPr>
        <w:t xml:space="preserve">[quarterly]</w:t>
      </w:r>
      <w:r>
        <w:t xml:space="preserve">. See the </w:t>
      </w:r>
      <w:r>
        <w:rPr>
          <w:shd w:fill="FFF1A8" w:color="auto" w:val="clear"/>
        </w:rPr>
        <w:t xml:space="preserve">[Access Control Policy]</w:t>
      </w:r>
      <w:r>
        <w:t xml:space="preserve">.</w:t>
      </w:r>
    </w:p>
    <w:p>
      <w:pPr>
        <w:pStyle w:val="Heading2"/>
        <w:keepNext/>
      </w:pPr>
      <w:r>
        <w:t xml:space="preserve">5.5 Cryptography</w:t>
      </w:r>
    </w:p>
    <w:p>
      <w:pPr>
        <w:spacing w:after="120" w:line="276"/>
        <w:jc w:val="left"/>
      </w:pPr>
      <w:r>
        <w:t xml:space="preserve">Confidential information is encrypted in transit using current TLS and at rest using strong encryption. Encryption keys are managed in </w:t>
      </w:r>
      <w:r>
        <w:rPr>
          <w:shd w:fill="FFF1A8" w:color="auto" w:val="clear"/>
        </w:rPr>
        <w:t xml:space="preserve">[key management service]</w:t>
      </w:r>
      <w:r>
        <w:t xml:space="preserve"> with restricted access.</w:t>
      </w:r>
    </w:p>
    <w:p>
      <w:pPr>
        <w:pStyle w:val="Heading2"/>
        <w:keepNext/>
      </w:pPr>
      <w:r>
        <w:t xml:space="preserve">5.6 Physical security</w:t>
      </w:r>
    </w:p>
    <w:p>
      <w:pPr>
        <w:spacing w:after="120" w:line="276"/>
        <w:jc w:val="left"/>
      </w:pPr>
      <w:r>
        <w:t xml:space="preserve">Offices and equipment are protected from unauthorized access. Data centre controls are provided by </w:t>
      </w:r>
      <w:r>
        <w:rPr>
          <w:shd w:fill="FFF1A8" w:color="auto" w:val="clear"/>
        </w:rPr>
        <w:t xml:space="preserve">[cloud provider]</w:t>
      </w:r>
      <w:r>
        <w:t xml:space="preserve"> and reviewed through its assurance reports.</w:t>
      </w:r>
    </w:p>
    <w:p>
      <w:pPr>
        <w:pStyle w:val="Heading2"/>
        <w:keepNext/>
      </w:pPr>
      <w:r>
        <w:t xml:space="preserve">5.7 Operations security</w:t>
      </w:r>
    </w:p>
    <w:p>
      <w:pPr>
        <w:spacing w:after="120" w:line="276"/>
        <w:jc w:val="left"/>
      </w:pPr>
      <w:r>
        <w:t xml:space="preserve">Systems are hardened to approved baselines, protected against malware, patched in line with the </w:t>
      </w:r>
      <w:r>
        <w:rPr>
          <w:shd w:fill="FFF1A8" w:color="auto" w:val="clear"/>
        </w:rPr>
        <w:t xml:space="preserve">[Vulnerability Management Procedure]</w:t>
      </w:r>
      <w:r>
        <w:t xml:space="preserve">, backed up, and monitored. Logs of security-relevant events are kept for at least </w:t>
      </w:r>
      <w:r>
        <w:rPr>
          <w:shd w:fill="FFF1A8" w:color="auto" w:val="clear"/>
        </w:rPr>
        <w:t xml:space="preserve">[12 months]</w:t>
      </w:r>
      <w:r>
        <w:t xml:space="preserve">.</w:t>
      </w:r>
    </w:p>
    <w:p>
      <w:pPr>
        <w:pStyle w:val="Heading2"/>
        <w:keepNext/>
      </w:pPr>
      <w:r>
        <w:t xml:space="preserve">5.8 Network security</w:t>
      </w:r>
    </w:p>
    <w:p>
      <w:pPr>
        <w:spacing w:after="120" w:line="276"/>
        <w:jc w:val="left"/>
      </w:pPr>
      <w:r>
        <w:t xml:space="preserve">Networks are segmented, firewall rules follow deny by default, and network boundaries are documented and reviewed at least annually.</w:t>
      </w:r>
    </w:p>
    <w:p>
      <w:pPr>
        <w:pStyle w:val="Heading2"/>
        <w:keepNext/>
      </w:pPr>
      <w:r>
        <w:t xml:space="preserve">5.9 Secure development and change management</w:t>
      </w:r>
    </w:p>
    <w:p>
      <w:pPr>
        <w:spacing w:after="120" w:line="276"/>
        <w:jc w:val="left"/>
      </w:pPr>
      <w:r>
        <w:t xml:space="preserve">Software is developed under a secure development life cycle. Changes are reviewed, tested and approved before release to production, and production data is not used for testing.</w:t>
      </w:r>
    </w:p>
    <w:p>
      <w:pPr>
        <w:pStyle w:val="Heading2"/>
        <w:keepNext/>
      </w:pPr>
      <w:r>
        <w:t xml:space="preserve">5.10 Supplier security</w:t>
      </w:r>
    </w:p>
    <w:p>
      <w:pPr>
        <w:spacing w:after="120" w:line="276"/>
        <w:jc w:val="left"/>
      </w:pPr>
      <w:r>
        <w:t xml:space="preserve">Suppliers that handle Company or customer information are assessed before onboarding, bound by security and confidentiality terms, and reviewed at least annually. See the </w:t>
      </w:r>
      <w:r>
        <w:rPr>
          <w:shd w:fill="FFF1A8" w:color="auto" w:val="clear"/>
        </w:rPr>
        <w:t xml:space="preserve">[Vendor Risk Management Procedure]</w:t>
      </w:r>
      <w:r>
        <w:t xml:space="preserve">.</w:t>
      </w:r>
    </w:p>
    <w:p>
      <w:pPr>
        <w:pStyle w:val="Heading2"/>
        <w:keepNext/>
      </w:pPr>
      <w:r>
        <w:t xml:space="preserve">5.11 Incident management</w:t>
      </w:r>
    </w:p>
    <w:p>
      <w:pPr>
        <w:spacing w:after="120" w:line="276"/>
        <w:jc w:val="left"/>
      </w:pPr>
      <w:r>
        <w:t xml:space="preserve">Personnel report suspected security incidents to </w:t>
      </w:r>
      <w:r>
        <w:rPr>
          <w:shd w:fill="FFF1A8" w:color="auto" w:val="clear"/>
        </w:rPr>
        <w:t xml:space="preserve">[security@company.com]</w:t>
      </w:r>
      <w:r>
        <w:t xml:space="preserve"> immediately. Incidents are handled under the </w:t>
      </w:r>
      <w:r>
        <w:rPr>
          <w:shd w:fill="FFF1A8" w:color="auto" w:val="clear"/>
        </w:rPr>
        <w:t xml:space="preserve">[Incident Response Plan]</w:t>
      </w:r>
      <w:r>
        <w:t xml:space="preserve">, including notification to customers, regulators and individuals where required.</w:t>
      </w:r>
    </w:p>
    <w:p>
      <w:pPr>
        <w:pStyle w:val="Heading2"/>
        <w:keepNext/>
      </w:pPr>
      <w:r>
        <w:t xml:space="preserve">5.12 Business continuity</w:t>
      </w:r>
    </w:p>
    <w:p>
      <w:pPr>
        <w:spacing w:after="120" w:line="276"/>
        <w:jc w:val="left"/>
      </w:pPr>
      <w:r>
        <w:t xml:space="preserve">The Company maintains business continuity and disaster recovery plans with recovery objectives of </w:t>
      </w:r>
      <w:r>
        <w:rPr>
          <w:shd w:fill="FFF1A8" w:color="auto" w:val="clear"/>
        </w:rPr>
        <w:t xml:space="preserve">[RTO]</w:t>
      </w:r>
      <w:r>
        <w:t xml:space="preserve"> and </w:t>
      </w:r>
      <w:r>
        <w:rPr>
          <w:shd w:fill="FFF1A8" w:color="auto" w:val="clear"/>
        </w:rPr>
        <w:t xml:space="preserve">[RPO]</w:t>
      </w:r>
      <w:r>
        <w:t xml:space="preserve">, and tests them at least annually.</w:t>
      </w:r>
    </w:p>
    <w:p>
      <w:pPr>
        <w:pStyle w:val="Heading2"/>
        <w:keepNext/>
      </w:pPr>
      <w:r>
        <w:t xml:space="preserve">5.13 Privacy</w:t>
      </w:r>
    </w:p>
    <w:p>
      <w:pPr>
        <w:spacing w:after="120" w:line="276"/>
        <w:jc w:val="left"/>
      </w:pPr>
      <w:r>
        <w:t xml:space="preserve">Personal information is collected, used, disclosed and retained in line with applicable privacy laws and the </w:t>
      </w:r>
      <w:r>
        <w:rPr>
          <w:shd w:fill="FFF1A8" w:color="auto" w:val="clear"/>
        </w:rPr>
        <w:t xml:space="preserve">[Privacy Policy]</w:t>
      </w:r>
      <w:r>
        <w:t xml:space="preserve">.</w:t>
      </w:r>
    </w:p>
    <w:p>
      <w:pPr>
        <w:pStyle w:val="Heading2"/>
        <w:keepNext/>
      </w:pPr>
      <w:r>
        <w:t xml:space="preserve">5.14 Compliance and monitoring</w:t>
      </w:r>
    </w:p>
    <w:p>
      <w:pPr>
        <w:spacing w:after="120" w:line="276"/>
        <w:jc w:val="left"/>
      </w:pPr>
      <w:r>
        <w:t xml:space="preserve">The Company monitors control effectiveness, performs internal audits at least annually, and tracks findings to closure.</w:t>
      </w:r>
    </w:p>
    <w:p>
      <w:pPr>
        <w:pStyle w:val="Heading1"/>
        <w:keepNext/>
      </w:pPr>
      <w:r>
        <w:t xml:space="preserve">6. Exceptions</w:t>
      </w:r>
    </w:p>
    <w:p>
      <w:pPr>
        <w:spacing w:after="120" w:line="276"/>
        <w:jc w:val="left"/>
      </w:pPr>
      <w:r>
        <w:t xml:space="preserve">Any exception to this policy must be requested in writing, risk assessed, approved by the </w:t>
      </w:r>
      <w:r>
        <w:rPr>
          <w:shd w:fill="FFF1A8" w:color="auto" w:val="clear"/>
        </w:rPr>
        <w:t xml:space="preserve">[Information Security Officer]</w:t>
      </w:r>
      <w:r>
        <w:t xml:space="preserve"> and the system owner, recorded in the exceptions register, and given an expiry date of no more than </w:t>
      </w:r>
      <w:r>
        <w:rPr>
          <w:shd w:fill="FFF1A8" w:color="auto" w:val="clear"/>
        </w:rPr>
        <w:t xml:space="preserve">[12 months]</w:t>
      </w:r>
      <w:r>
        <w:t xml:space="preserve">.</w:t>
      </w:r>
    </w:p>
    <w:p>
      <w:pPr>
        <w:pStyle w:val="Heading1"/>
        <w:keepNext/>
      </w:pPr>
      <w:r>
        <w:t xml:space="preserve">7. Enforcement</w:t>
      </w:r>
    </w:p>
    <w:p>
      <w:pPr>
        <w:spacing w:after="120" w:line="276"/>
        <w:jc w:val="left"/>
      </w:pPr>
      <w:r>
        <w:t xml:space="preserve">Violations of this policy may lead to disciplinary action, up to and including termination of employment or contract, and may be reported to authorities where the law requires.</w:t>
      </w:r>
    </w:p>
    <w:p>
      <w:pPr>
        <w:pStyle w:val="Heading1"/>
        <w:keepNext/>
      </w:pPr>
      <w:r>
        <w:t xml:space="preserve">8. Review</w:t>
      </w:r>
    </w:p>
    <w:p>
      <w:pPr>
        <w:spacing w:after="120" w:line="276"/>
        <w:jc w:val="left"/>
      </w:pPr>
      <w:r>
        <w:t xml:space="preserve">The </w:t>
      </w:r>
      <w:r>
        <w:rPr>
          <w:shd w:fill="FFF1A8" w:color="auto" w:val="clear"/>
        </w:rPr>
        <w:t xml:space="preserve">[Information Security Officer]</w:t>
      </w:r>
      <w:r>
        <w:t xml:space="preserve"> reviews this policy at least annually and after significant changes to the business, technology, threats or legal requirements. Executive management approves each version, and the policy is communicated to all personnel.</w:t>
      </w:r>
    </w:p>
    <w:p>
      <w:pPr>
        <w:pStyle w:val="Heading1"/>
        <w:keepNext/>
      </w:pPr>
      <w:r>
        <w:t xml:space="preserve">9. Related documents</w:t>
      </w:r>
    </w:p>
    <w:p>
      <w:pPr>
        <w:pStyle w:val="ListParagraph"/>
        <w:numPr>
          <w:ilvl w:val="0"/>
          <w:numId w:val="2"/>
        </w:numPr>
        <w:spacing w:after="80" w:line="276"/>
      </w:pPr>
      <w:r>
        <w:rPr>
          <w:shd w:fill="FFF1A8" w:color="auto" w:val="clear"/>
        </w:rPr>
        <w:t xml:space="preserve">[Access Control Policy]</w:t>
      </w:r>
    </w:p>
    <w:p>
      <w:pPr>
        <w:pStyle w:val="ListParagraph"/>
        <w:numPr>
          <w:ilvl w:val="0"/>
          <w:numId w:val="2"/>
        </w:numPr>
        <w:spacing w:after="80" w:line="276"/>
      </w:pPr>
      <w:r>
        <w:rPr>
          <w:shd w:fill="FFF1A8" w:color="auto" w:val="clear"/>
        </w:rPr>
        <w:t xml:space="preserve">[Acceptable Use Policy]</w:t>
      </w:r>
    </w:p>
    <w:p>
      <w:pPr>
        <w:pStyle w:val="ListParagraph"/>
        <w:numPr>
          <w:ilvl w:val="0"/>
          <w:numId w:val="2"/>
        </w:numPr>
        <w:spacing w:after="80" w:line="276"/>
      </w:pPr>
      <w:r>
        <w:rPr>
          <w:shd w:fill="FFF1A8" w:color="auto" w:val="clear"/>
        </w:rPr>
        <w:t xml:space="preserve">[Risk Management Procedure]</w:t>
      </w:r>
    </w:p>
    <w:p>
      <w:pPr>
        <w:pStyle w:val="ListParagraph"/>
        <w:numPr>
          <w:ilvl w:val="0"/>
          <w:numId w:val="2"/>
        </w:numPr>
        <w:spacing w:after="80" w:line="276"/>
      </w:pPr>
      <w:r>
        <w:rPr>
          <w:shd w:fill="FFF1A8" w:color="auto" w:val="clear"/>
        </w:rPr>
        <w:t xml:space="preserve">[Incident Response Plan]</w:t>
      </w:r>
    </w:p>
    <w:p>
      <w:pPr>
        <w:pStyle w:val="ListParagraph"/>
        <w:numPr>
          <w:ilvl w:val="0"/>
          <w:numId w:val="2"/>
        </w:numPr>
        <w:spacing w:after="80" w:line="276"/>
      </w:pPr>
      <w:r>
        <w:rPr>
          <w:shd w:fill="FFF1A8" w:color="auto" w:val="clear"/>
        </w:rPr>
        <w:t xml:space="preserve">[Vendor Risk Management Procedure]</w:t>
      </w:r>
    </w:p>
    <w:p>
      <w:pPr>
        <w:pStyle w:val="ListParagraph"/>
        <w:numPr>
          <w:ilvl w:val="0"/>
          <w:numId w:val="2"/>
        </w:numPr>
        <w:spacing w:after="80" w:line="276"/>
      </w:pPr>
      <w:r>
        <w:rPr>
          <w:shd w:fill="FFF1A8" w:color="auto" w:val="clear"/>
        </w:rPr>
        <w:t xml:space="preserve">[Business Continuity and Disaster Recovery Plan]</w:t>
      </w:r>
    </w:p>
    <w:p>
      <w:pPr>
        <w:pStyle w:val="ListParagraph"/>
        <w:numPr>
          <w:ilvl w:val="0"/>
          <w:numId w:val="2"/>
        </w:numPr>
        <w:spacing w:after="80" w:line="276"/>
      </w:pPr>
      <w:r>
        <w:rPr>
          <w:shd w:fill="FFF1A8" w:color="auto" w:val="clear"/>
        </w:rPr>
        <w:t xml:space="preserve">[Data Classification and Retention Policy]</w:t>
      </w:r>
    </w:p>
    <w:p>
      <w:pPr>
        <w:pStyle w:val="ListParagraph"/>
        <w:numPr>
          <w:ilvl w:val="0"/>
          <w:numId w:val="2"/>
        </w:numPr>
        <w:spacing w:after="80" w:line="276"/>
      </w:pPr>
      <w:r>
        <w:rPr>
          <w:shd w:fill="FFF1A8" w:color="auto" w:val="clear"/>
        </w:rPr>
        <w:t xml:space="preserve">[Secure Development and Change Management Policy]</w:t>
      </w:r>
    </w:p>
    <w:p>
      <w:pPr>
        <w:pStyle w:val="Heading1"/>
        <w:keepNext/>
      </w:pPr>
      <w:r>
        <w:t xml:space="preserve">Appendix: framework mapping</w:t>
      </w:r>
    </w:p>
    <w:p>
      <w:pPr>
        <w:pBdr>
          <w:left w:val="single" w:color="046BD2" w:sz="18" w:space="6"/>
        </w:pBdr>
        <w:shd w:fill="EAF2FD" w:color="auto" w:val="clear"/>
        <w:spacing w:after="160" w:before="60" w:line="276"/>
        <w:ind w:left="120"/>
      </w:pPr>
      <w:r>
        <w:rPr>
          <w:b/>
          <w:bCs/>
          <w:i/>
          <w:iCs/>
          <w:color w:val="1E4E8C"/>
        </w:rPr>
        <w:t xml:space="preserve">Guidance: </w:t>
      </w:r>
      <w:r>
        <w:rPr>
          <w:i/>
          <w:iCs/>
          <w:color w:val="1E4E8C"/>
        </w:rPr>
        <w:t xml:space="preserve">Use this table to show auditors where the policy meets each requirement. Your auditor may map controls differently.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480"/>
        <w:gridCol w:w="3480"/>
      </w:tblGrid>
      <w:tr>
        <w:trPr>
          <w:cantSplit/>
          <w:tblHeader/>
        </w:trPr>
        <w:tc>
          <w:tcPr>
            <w:tcW w:type="dxa" w:w="240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Policy section</w:t>
            </w:r>
          </w:p>
        </w:tc>
        <w:tc>
          <w:tcPr>
            <w:tcW w:type="dxa" w:w="34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SOC 2 (2017 TSC)</w:t>
            </w:r>
          </w:p>
        </w:tc>
        <w:tc>
          <w:tcPr>
            <w:tcW w:type="dxa" w:w="3480"/>
            <w:tcBorders>
              <w:top w:val="single" w:color="BFC7D5" w:sz="4"/>
              <w:left w:val="single" w:color="BFC7D5" w:sz="4"/>
              <w:bottom w:val="single" w:color="BFC7D5" w:sz="4"/>
              <w:right w:val="single" w:color="BFC7D5" w:sz="4"/>
            </w:tcBorders>
            <w:shd w:fill="0B1F3A" w:color="auto" w:val="clear"/>
            <w:tcMar>
              <w:top w:type="dxa" w:w="60"/>
              <w:left w:type="dxa" w:w="100"/>
              <w:bottom w:type="dxa" w:w="60"/>
              <w:right w:type="dxa" w:w="100"/>
            </w:tcMar>
            <w:vAlign w:val="top"/>
          </w:tcPr>
          <w:p>
            <w:pPr>
              <w:spacing w:after="30"/>
            </w:pPr>
            <w:r>
              <w:rPr>
                <w:b/>
                <w:bCs/>
                <w:color w:val="FFFFFF"/>
                <w:sz w:val="19"/>
                <w:szCs w:val="19"/>
              </w:rPr>
              <w:t xml:space="preserve">ISO/IEC 27001:2022</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Whole policy</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CC1.1, CC2.2, CC5.3</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Clause 5.2, Annex A 5.1</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4 Roles</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CC1.3</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Clause 5.3, Annex A 5.2</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5.1 Risk management</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CC3.1 to CC3.4</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Clauses 6.1.2, 6.1.3, 8.2, 8.3</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5.2 Asset management</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CC6.1</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5.9, 5.12</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5.3 Human resources</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CC1.4, CC2.2</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6.1 to 6.5</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5.4 Access control</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CC6.1 to CC6.3</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5.15 to 5.18, 8.5</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5.5 Cryptography</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CC6.1, CC6.7</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8.24</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5.6 Physical security</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CC6.4</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7.1 to 7.4</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5.7 and 5.8 Operations and network</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CC6.6, CC6.8, CC7.1, CC7.2</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8.7, 8.8, 8.13, 8.15, 8.20</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5.9 Development and change</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CC8.1</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8.25, 8.32</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5.10 Suppliers</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CC9.2</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5.19 to 5.22</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5.11 Incidents</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CC7.3 to CC7.5</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5.24 to 5.28</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5.12 Continuity</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A1.2, A1.3</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Annex A 5.29, 5.30</w:t>
            </w:r>
          </w:p>
        </w:tc>
      </w:tr>
      <w:tr>
        <w:trPr>
          <w:cantSplit/>
          <w:tblHeader w:val="false"/>
        </w:trPr>
        <w:tc>
          <w:tcPr>
            <w:tcW w:type="dxa" w:w="240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8 Review</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CC5.3</w:t>
            </w:r>
          </w:p>
        </w:tc>
        <w:tc>
          <w:tcPr>
            <w:tcW w:type="dxa" w:w="3480"/>
            <w:tcBorders>
              <w:top w:val="single" w:color="BFC7D5" w:sz="4"/>
              <w:left w:val="single" w:color="BFC7D5" w:sz="4"/>
              <w:bottom w:val="single" w:color="BFC7D5" w:sz="4"/>
              <w:right w:val="single" w:color="BFC7D5" w:sz="4"/>
            </w:tcBorders>
            <w:tcMar>
              <w:top w:type="dxa" w:w="60"/>
              <w:left w:type="dxa" w:w="100"/>
              <w:bottom w:type="dxa" w:w="60"/>
              <w:right w:type="dxa" w:w="100"/>
            </w:tcMar>
            <w:vAlign w:val="top"/>
          </w:tcPr>
          <w:p>
            <w:pPr>
              <w:spacing w:after="30"/>
            </w:pPr>
            <w:r>
              <w:rPr>
                <w:sz w:val="19"/>
                <w:szCs w:val="19"/>
              </w:rPr>
              <w:t xml:space="preserve">Clauses 5.2, 7.5</w:t>
            </w:r>
          </w:p>
        </w:tc>
      </w:tr>
    </w:tbl>
    <w:sectPr>
      <w:headerReference w:type="default" r:id="rId7"/>
      <w:footerReference w:type="default" r:id="rId8"/>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Template from nank.ai  |  Page </w:t>
    </w:r>
    <w:r>
      <w:rPr>
        <w:color w:val="6B7280"/>
        <w:sz w:val="16"/>
        <w:szCs w:val="16"/>
      </w:rPr>
      <w:fldChar w:fldCharType="begin"/>
      <w:instrText xml:space="preserve">PAGE</w:instrText>
      <w:fldChar w:fldCharType="separate"/>
      <w:fldChar w:fldCharType="end"/>
    </w:r>
    <w:r>
      <w:rPr>
        <w:color w:val="6B7280"/>
        <w:sz w:val="16"/>
        <w:szCs w:val="16"/>
      </w:rPr>
      <w:t xml:space="preserve"> of </w:t>
    </w:r>
    <w:r>
      <w:rPr>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[Company Name]  |  Information Security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Calibri" w:cs="Calibri" w:eastAsia="Calibri" w:hAnsi="Calibri"/>
      <w:b/>
      <w:bCs/>
      <w:color w:val="0B1F3A"/>
      <w:sz w:val="28"/>
      <w:szCs w:val="28"/>
    </w:rPr>
  </w:style>
  <w:style w:type="paragraph" w:styleId="Heading2">
    <w:name w:val="Heading 2"/>
    <w:basedOn w:val="Normal"/>
    <w:next w:val="Normal"/>
    <w:qFormat/>
    <w:pPr>
      <w:spacing w:after="100" w:before="200"/>
      <w:outlineLvl w:val="1"/>
    </w:pPr>
    <w:rPr>
      <w:rFonts w:ascii="Calibri" w:cs="Calibri" w:eastAsia="Calibri" w:hAnsi="Calibri"/>
      <w:b/>
      <w:bCs/>
      <w:color w:val="046BD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(Template)</dc:title>
  <dc:creator>nank.ai</dc:creator>
  <cp:lastModifiedBy>Un-named</cp:lastModifiedBy>
  <cp:revision>1</cp:revision>
  <dcterms:created xsi:type="dcterms:W3CDTF">2026-10-02T00:18:50.532Z</dcterms:created>
  <dcterms:modified xsi:type="dcterms:W3CDTF">2026-10-02T00:18:50.539Z</dcterms:modified>
</cp:coreProperties>
</file>

<file path=docProps/custom.xml><?xml version="1.0" encoding="utf-8"?>
<Properties xmlns="http://schemas.openxmlformats.org/officeDocument/2006/custom-properties" xmlns:vt="http://schemas.openxmlformats.org/officeDocument/2006/docPropsVTypes"/>
</file>