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46BD2"/>
          <w:sz w:val="20"/>
          <w:szCs w:val="20"/>
        </w:rPr>
        <w:t xml:space="preserve">nank.ai  ·  Plan template</w:t>
      </w:r>
    </w:p>
    <w:p>
      <w:pPr>
        <w:spacing w:after="60"/>
      </w:pPr>
      <w:r>
        <w:rPr>
          <w:b/>
          <w:bCs/>
          <w:color w:val="0B1F3A"/>
          <w:sz w:val="44"/>
          <w:szCs w:val="44"/>
        </w:rPr>
        <w:t xml:space="preserve">Incident Response Plan</w:t>
      </w:r>
    </w:p>
    <w:p>
      <w:pPr>
        <w:pBdr>
          <w:bottom w:val="single" w:color="046BD2" w:sz="12" w:space="6"/>
        </w:pBdr>
        <w:spacing w:after="200"/>
      </w:pPr>
      <w:r>
        <w:rPr>
          <w:color w:val="6B7280"/>
          <w:sz w:val="22"/>
          <w:szCs w:val="22"/>
        </w:rPr>
        <w:t xml:space="preserve">Roles, severity levels, response steps and breach notification for Canada and the United States.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Document control</w:t>
            </w:r>
          </w:p>
        </w:tc>
        <w:tc>
          <w:tcPr>
            <w:tcW w:type="dxa" w:w="67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Organization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[Company Name]</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Document owner</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[Information Security Officer]</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Approved by</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[Name, title]</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Version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[1.0]</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Effective date</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[YYYY-MM-DD]</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Next review</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[YYYY-MM-DD, at least annually]</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Classification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[Internal]</w:t>
            </w:r>
          </w:p>
        </w:tc>
      </w:tr>
    </w:tbl>
    <w:p>
      <w:pPr>
        <w:spacing w:after="80"/>
      </w:pPr>
    </w:p>
    <w:p>
      <w:pPr>
        <w:pStyle w:val="Heading2"/>
        <w:keepNext/>
      </w:pPr>
      <w:r>
        <w:t xml:space="preserve">How to use this template</w:t>
      </w:r>
    </w:p>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Replace every highlighted [placeholder] with your own details, delete these blue guidance notes, and adapt each section to what your team actually does. Auditors test what you do, not what the document says. Test this plan at least once a year with a tabletop exercise, and keep the contact list current.</w:t>
      </w:r>
    </w:p>
    <w:p>
      <w:pPr>
        <w:spacing w:after="120" w:line="276"/>
        <w:jc w:val="left"/>
      </w:pPr>
      <w:r>
        <w:rPr>
          <w:i/>
          <w:iCs/>
          <w:color w:val="6B7280"/>
          <w:sz w:val="18"/>
          <w:szCs w:val="18"/>
        </w:rPr>
        <w:t xml:space="preserve">This template is provided by nank.ai as a starting point. It is not legal advice. Review it with your own advisers before you adopt it.</w:t>
      </w:r>
    </w:p>
    <w:p>
      <w:pPr>
        <w:pStyle w:val="Heading1"/>
        <w:keepNext/>
      </w:pPr>
      <w:r>
        <w:t xml:space="preserve">1. Purpose and scope</w:t>
      </w:r>
    </w:p>
    <w:p>
      <w:pPr>
        <w:spacing w:after="120" w:line="276"/>
        <w:jc w:val="left"/>
      </w:pPr>
      <w:r>
        <w:t xml:space="preserve">This plan sets out how </w:t>
      </w:r>
      <w:r>
        <w:rPr>
          <w:shd w:fill="FFF1A8" w:color="auto" w:val="clear"/>
        </w:rPr>
        <w:t xml:space="preserve">[Company Name]</w:t>
      </w:r>
      <w:r>
        <w:t xml:space="preserve"> detects, responds to, recovers from and learns from information security incidents. It applies to all personnel and to every system, service and supplier that stores or processes Company or customer information.</w:t>
      </w:r>
    </w:p>
    <w:p>
      <w:pPr>
        <w:spacing w:after="120" w:line="276"/>
        <w:jc w:val="left"/>
      </w:pPr>
      <w:r>
        <w:t xml:space="preserve">The plan follows the incident handling life cycle in NIST Special Publication 800-61: prepare, detect and analyze, contain, eradicate and recover, and learn.</w:t>
      </w:r>
    </w:p>
    <w:p>
      <w:pPr>
        <w:pStyle w:val="Heading1"/>
        <w:keepNext/>
      </w:pPr>
      <w:r>
        <w:t xml:space="preserve">2.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blHeader/>
        </w:trPr>
        <w:tc>
          <w:tcPr>
            <w:tcW w:type="dxa" w:w="24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Term</w:t>
            </w:r>
          </w:p>
        </w:tc>
        <w:tc>
          <w:tcPr>
            <w:tcW w:type="dxa" w:w="69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Meaning</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Security event</w:t>
            </w:r>
          </w:p>
        </w:tc>
        <w:tc>
          <w:tcPr>
            <w:tcW w:type="dxa" w:w="6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Any observable occurrence in a system or network, such as a failed login or a malware alert.</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Security incident</w:t>
            </w:r>
          </w:p>
        </w:tc>
        <w:tc>
          <w:tcPr>
            <w:tcW w:type="dxa" w:w="6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 event that actually or potentially compromises the confidentiality, integrity or availability of information or systems, or breaks a security policy.</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Data breach</w:t>
            </w:r>
          </w:p>
        </w:tc>
        <w:tc>
          <w:tcPr>
            <w:tcW w:type="dxa" w:w="6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 incident that leads to unauthorized access to, or disclosure, loss or destruction of, personal information or customer data. Each law uses its own definition, so Section 7 applies the legal test.</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Incident Commander</w:t>
            </w:r>
          </w:p>
        </w:tc>
        <w:tc>
          <w:tcPr>
            <w:tcW w:type="dxa" w:w="6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The person who leads the response to a specific incident and makes decisions until it is closed.</w:t>
            </w:r>
          </w:p>
        </w:tc>
      </w:tr>
    </w:tbl>
    <w:p>
      <w:pPr>
        <w:spacing w:after="80"/>
      </w:pPr>
    </w:p>
    <w:p>
      <w:pPr>
        <w:pStyle w:val="Heading1"/>
        <w:keepNext/>
      </w:pPr>
      <w:r>
        <w:t xml:space="preserve">3.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Role</w:t>
            </w:r>
          </w:p>
        </w:tc>
        <w:tc>
          <w:tcPr>
            <w:tcW w:type="dxa" w:w="67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Responsibilities</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Incident Commander</w:t>
            </w:r>
          </w:p>
          <w:p>
            <w:pPr>
              <w:spacing w:after="30"/>
            </w:pPr>
            <w:r>
              <w:rPr>
                <w:sz w:val="19"/>
                <w:szCs w:val="19"/>
                <w:shd w:fill="FFF1A8" w:color="auto" w:val="clear"/>
              </w:rPr>
              <w:t xml:space="preserve">[Name, backup]</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Leads the response, sets severity, assigns tasks, approves containment steps and declares the incident closed.</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Technical lead</w:t>
            </w:r>
          </w:p>
          <w:p>
            <w:pPr>
              <w:spacing w:after="30"/>
            </w:pPr>
            <w:r>
              <w:rPr>
                <w:sz w:val="19"/>
                <w:szCs w:val="19"/>
                <w:shd w:fill="FFF1A8" w:color="auto" w:val="clear"/>
              </w:rPr>
              <w:t xml:space="preserve">[Name, backup]</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Investigates, preserves evidence, contains the threat and restores systems.</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Communications lead</w:t>
            </w:r>
          </w:p>
          <w:p>
            <w:pPr>
              <w:spacing w:after="30"/>
            </w:pPr>
            <w:r>
              <w:rPr>
                <w:sz w:val="19"/>
                <w:szCs w:val="19"/>
                <w:shd w:fill="FFF1A8" w:color="auto" w:val="clear"/>
              </w:rPr>
              <w:t xml:space="preserve">[Name, backup]</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Drafts internal, customer and public messages for approval. Only this role speaks for the Company.</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Legal and privacy</w:t>
            </w:r>
          </w:p>
          <w:p>
            <w:pPr>
              <w:spacing w:after="30"/>
            </w:pPr>
            <w:r>
              <w:rPr>
                <w:sz w:val="19"/>
                <w:szCs w:val="19"/>
                <w:shd w:fill="FFF1A8" w:color="auto" w:val="clear"/>
              </w:rPr>
              <w:t xml:space="preserve">[Name or outside counsel]</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Decides whether notification is required and to whom, and manages legal hold and regulator contact.</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Executive sponsor</w:t>
            </w:r>
          </w:p>
          <w:p>
            <w:pPr>
              <w:spacing w:after="30"/>
            </w:pPr>
            <w:r>
              <w:rPr>
                <w:sz w:val="19"/>
                <w:szCs w:val="19"/>
                <w:shd w:fill="FFF1A8" w:color="auto" w:val="clear"/>
              </w:rPr>
              <w:t xml:space="preserve">[Name]</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Approves major decisions, resources, customer notices and any public statement.</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All personnel</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Report suspected incidents immediately to </w:t>
            </w:r>
            <w:r>
              <w:rPr>
                <w:sz w:val="19"/>
                <w:szCs w:val="19"/>
                <w:shd w:fill="FFF1A8" w:color="auto" w:val="clear"/>
              </w:rPr>
              <w:t xml:space="preserve">[security@company.com]</w:t>
            </w:r>
            <w:r>
              <w:rPr>
                <w:sz w:val="19"/>
                <w:szCs w:val="19"/>
              </w:rPr>
              <w:t xml:space="preserve"> or </w:t>
            </w:r>
            <w:r>
              <w:rPr>
                <w:sz w:val="19"/>
                <w:szCs w:val="19"/>
                <w:shd w:fill="FFF1A8" w:color="auto" w:val="clear"/>
              </w:rPr>
              <w:t xml:space="preserve">[phone or chat channel]</w:t>
            </w:r>
            <w:r>
              <w:rPr>
                <w:sz w:val="19"/>
                <w:szCs w:val="19"/>
              </w:rPr>
              <w:t xml:space="preserve">. Do not investigate or delete anything on their own.</w:t>
            </w:r>
          </w:p>
        </w:tc>
      </w:tr>
    </w:tbl>
    <w:p>
      <w:pPr>
        <w:spacing w:after="80"/>
      </w:pPr>
    </w:p>
    <w:p>
      <w:pPr>
        <w:pStyle w:val="Heading1"/>
        <w:keepNext/>
      </w:pPr>
      <w:r>
        <w:t xml:space="preserve">4. Severity levels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4360"/>
        <w:gridCol w:w="1850"/>
        <w:gridCol w:w="1850"/>
      </w:tblGrid>
      <w:tr>
        <w:trPr>
          <w:cantSplit/>
          <w:tblHeader/>
        </w:trPr>
        <w:tc>
          <w:tcPr>
            <w:tcW w:type="dxa" w:w="13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Severity</w:t>
            </w:r>
          </w:p>
        </w:tc>
        <w:tc>
          <w:tcPr>
            <w:tcW w:type="dxa" w:w="43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Description</w:t>
            </w:r>
          </w:p>
        </w:tc>
        <w:tc>
          <w:tcPr>
            <w:tcW w:type="dxa" w:w="185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Response starts</w:t>
            </w:r>
          </w:p>
        </w:tc>
        <w:tc>
          <w:tcPr>
            <w:tcW w:type="dxa" w:w="185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Notify</w:t>
            </w:r>
          </w:p>
        </w:tc>
      </w:tr>
      <w:tr>
        <w:trPr>
          <w:cantSplit/>
          <w:tblHeader w:val="false"/>
        </w:trPr>
        <w:tc>
          <w:tcPr>
            <w:tcW w:type="dxa" w:w="1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SEV 1</w:t>
            </w:r>
          </w:p>
          <w:p>
            <w:pPr>
              <w:spacing w:after="30"/>
            </w:pPr>
            <w:r>
              <w:rPr>
                <w:sz w:val="19"/>
                <w:szCs w:val="19"/>
              </w:rPr>
              <w:t xml:space="preserve">Critical</w:t>
            </w:r>
          </w:p>
        </w:tc>
        <w:tc>
          <w:tcPr>
            <w:tcW w:type="dxa" w:w="4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Confirmed breach of customer or personal data, ransomware, or a full outage of a production service.</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Immediately, 24/7</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Executive sponsor, legal, affected customers as required</w:t>
            </w:r>
          </w:p>
        </w:tc>
      </w:tr>
      <w:tr>
        <w:trPr>
          <w:cantSplit/>
          <w:tblHeader w:val="false"/>
        </w:trPr>
        <w:tc>
          <w:tcPr>
            <w:tcW w:type="dxa" w:w="1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SEV 2</w:t>
            </w:r>
          </w:p>
          <w:p>
            <w:pPr>
              <w:spacing w:after="30"/>
            </w:pPr>
            <w:r>
              <w:rPr>
                <w:sz w:val="19"/>
                <w:szCs w:val="19"/>
              </w:rPr>
              <w:t xml:space="preserve">High</w:t>
            </w:r>
          </w:p>
        </w:tc>
        <w:tc>
          <w:tcPr>
            <w:tcW w:type="dxa" w:w="4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Likely compromise of a system or account, or a partial outage with customer impact.</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Within </w:t>
            </w:r>
            <w:r>
              <w:rPr>
                <w:sz w:val="19"/>
                <w:szCs w:val="19"/>
                <w:shd w:fill="FFF1A8" w:color="auto" w:val="clear"/>
              </w:rPr>
              <w:t xml:space="preserve">[1 hour]</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Incident Commander, executive sponsor</w:t>
            </w:r>
          </w:p>
        </w:tc>
      </w:tr>
      <w:tr>
        <w:trPr>
          <w:cantSplit/>
          <w:tblHeader w:val="false"/>
        </w:trPr>
        <w:tc>
          <w:tcPr>
            <w:tcW w:type="dxa" w:w="1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SEV 3</w:t>
            </w:r>
          </w:p>
          <w:p>
            <w:pPr>
              <w:spacing w:after="30"/>
            </w:pPr>
            <w:r>
              <w:rPr>
                <w:sz w:val="19"/>
                <w:szCs w:val="19"/>
              </w:rPr>
              <w:t xml:space="preserve">Medium</w:t>
            </w:r>
          </w:p>
        </w:tc>
        <w:tc>
          <w:tcPr>
            <w:tcW w:type="dxa" w:w="4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Contained malware, a policy violation, or a suspicious event that needs investigation.</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Within </w:t>
            </w:r>
            <w:r>
              <w:rPr>
                <w:sz w:val="19"/>
                <w:szCs w:val="19"/>
                <w:shd w:fill="FFF1A8" w:color="auto" w:val="clear"/>
              </w:rPr>
              <w:t xml:space="preserve">[1 business day]</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Incident Commander</w:t>
            </w:r>
          </w:p>
        </w:tc>
      </w:tr>
      <w:tr>
        <w:trPr>
          <w:cantSplit/>
          <w:tblHeader w:val="false"/>
        </w:trPr>
        <w:tc>
          <w:tcPr>
            <w:tcW w:type="dxa" w:w="1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SEV 4</w:t>
            </w:r>
          </w:p>
          <w:p>
            <w:pPr>
              <w:spacing w:after="30"/>
            </w:pPr>
            <w:r>
              <w:rPr>
                <w:sz w:val="19"/>
                <w:szCs w:val="19"/>
              </w:rPr>
              <w:t xml:space="preserve">Low</w:t>
            </w:r>
          </w:p>
        </w:tc>
        <w:tc>
          <w:tcPr>
            <w:tcW w:type="dxa" w:w="4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Minor event with no impact, such as a blocked phishing email.</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Within </w:t>
            </w:r>
            <w:r>
              <w:rPr>
                <w:sz w:val="19"/>
                <w:szCs w:val="19"/>
                <w:shd w:fill="FFF1A8" w:color="auto" w:val="clear"/>
              </w:rPr>
              <w:t xml:space="preserve">[3 business days]</w:t>
            </w:r>
          </w:p>
        </w:tc>
        <w:tc>
          <w:tcPr>
            <w:tcW w:type="dxa" w:w="185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Security team</w:t>
            </w:r>
          </w:p>
        </w:tc>
      </w:tr>
    </w:tbl>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Raise the severity whenever personal information, health information or customer data may be involved. You can lower it once facts are confirmed.</w:t>
      </w:r>
    </w:p>
    <w:p>
      <w:pPr>
        <w:pStyle w:val="Heading1"/>
        <w:keepNext/>
      </w:pPr>
      <w:r>
        <w:t xml:space="preserve">5. Response process</w:t>
      </w:r>
    </w:p>
    <w:p>
      <w:pPr>
        <w:pStyle w:val="Heading2"/>
        <w:keepNext/>
      </w:pPr>
      <w:r>
        <w:t xml:space="preserve">5.1 Prepare</w:t>
      </w:r>
    </w:p>
    <w:p>
      <w:pPr>
        <w:pStyle w:val="ListParagraph"/>
        <w:numPr>
          <w:ilvl w:val="0"/>
          <w:numId w:val="2"/>
        </w:numPr>
        <w:spacing w:after="80" w:line="276"/>
      </w:pPr>
      <w:r>
        <w:t xml:space="preserve">Keep this plan, the contact list and system diagrams available offline.</w:t>
      </w:r>
    </w:p>
    <w:p>
      <w:pPr>
        <w:pStyle w:val="ListParagraph"/>
        <w:numPr>
          <w:ilvl w:val="0"/>
          <w:numId w:val="2"/>
        </w:numPr>
        <w:spacing w:after="80" w:line="276"/>
      </w:pPr>
      <w:r>
        <w:t xml:space="preserve">Make sure logging, alerting and backups are working, and that responders can reach the tools they need.</w:t>
      </w:r>
    </w:p>
    <w:p>
      <w:pPr>
        <w:pStyle w:val="ListParagraph"/>
        <w:numPr>
          <w:ilvl w:val="0"/>
          <w:numId w:val="2"/>
        </w:numPr>
        <w:spacing w:after="80" w:line="276"/>
      </w:pPr>
      <w:r>
        <w:t xml:space="preserve">Train responders and run a tabletop exercise at least annually.</w:t>
      </w:r>
    </w:p>
    <w:p>
      <w:pPr>
        <w:pStyle w:val="ListParagraph"/>
        <w:numPr>
          <w:ilvl w:val="0"/>
          <w:numId w:val="2"/>
        </w:numPr>
        <w:spacing w:after="80" w:line="276"/>
      </w:pPr>
      <w:r>
        <w:t xml:space="preserve">Keep templates for customer and regulator notices ready.</w:t>
      </w:r>
    </w:p>
    <w:p>
      <w:pPr>
        <w:pStyle w:val="Heading2"/>
        <w:keepNext/>
      </w:pPr>
      <w:r>
        <w:t xml:space="preserve">5.2 Detect and analyze</w:t>
      </w:r>
    </w:p>
    <w:p>
      <w:pPr>
        <w:pStyle w:val="ListParagraph"/>
        <w:numPr>
          <w:ilvl w:val="0"/>
          <w:numId w:val="2"/>
        </w:numPr>
        <w:spacing w:after="80" w:line="276"/>
      </w:pPr>
      <w:r>
        <w:t xml:space="preserve">Log every reported event in </w:t>
      </w:r>
      <w:r>
        <w:rPr>
          <w:shd w:fill="FFF1A8" w:color="auto" w:val="clear"/>
        </w:rPr>
        <w:t xml:space="preserve">[ticketing system]</w:t>
      </w:r>
      <w:r>
        <w:t xml:space="preserve"> with the time it was reported and by whom.</w:t>
      </w:r>
    </w:p>
    <w:p>
      <w:pPr>
        <w:pStyle w:val="ListParagraph"/>
        <w:numPr>
          <w:ilvl w:val="0"/>
          <w:numId w:val="2"/>
        </w:numPr>
        <w:spacing w:after="80" w:line="276"/>
      </w:pPr>
      <w:r>
        <w:t xml:space="preserve">Confirm whether it is an incident, set the severity and appoint an Incident Commander.</w:t>
      </w:r>
    </w:p>
    <w:p>
      <w:pPr>
        <w:pStyle w:val="ListParagraph"/>
        <w:numPr>
          <w:ilvl w:val="0"/>
          <w:numId w:val="2"/>
        </w:numPr>
        <w:spacing w:after="80" w:line="276"/>
      </w:pPr>
      <w:r>
        <w:t xml:space="preserve">Work out the scope: affected systems, accounts, data types, customers and time window.</w:t>
      </w:r>
    </w:p>
    <w:p>
      <w:pPr>
        <w:pStyle w:val="ListParagraph"/>
        <w:numPr>
          <w:ilvl w:val="0"/>
          <w:numId w:val="2"/>
        </w:numPr>
        <w:spacing w:after="80" w:line="276"/>
      </w:pPr>
      <w:r>
        <w:t xml:space="preserve">Preserve evidence before making changes: logs, images, screenshots and a timeline of actions taken.</w:t>
      </w:r>
    </w:p>
    <w:p>
      <w:pPr>
        <w:pStyle w:val="Heading2"/>
        <w:keepNext/>
      </w:pPr>
      <w:r>
        <w:t xml:space="preserve">5.3 Contain</w:t>
      </w:r>
    </w:p>
    <w:p>
      <w:pPr>
        <w:pStyle w:val="ListParagraph"/>
        <w:numPr>
          <w:ilvl w:val="0"/>
          <w:numId w:val="2"/>
        </w:numPr>
        <w:spacing w:after="80" w:line="276"/>
      </w:pPr>
      <w:r>
        <w:t xml:space="preserve">Take short-term steps to stop the damage, such as isolating hosts, disabling accounts, rotating credentials or blocking indicators.</w:t>
      </w:r>
    </w:p>
    <w:p>
      <w:pPr>
        <w:pStyle w:val="ListParagraph"/>
        <w:numPr>
          <w:ilvl w:val="0"/>
          <w:numId w:val="2"/>
        </w:numPr>
        <w:spacing w:after="80" w:line="276"/>
      </w:pPr>
      <w:r>
        <w:t xml:space="preserve">Record every containment action with time, person and reason.</w:t>
      </w:r>
    </w:p>
    <w:p>
      <w:pPr>
        <w:pStyle w:val="ListParagraph"/>
        <w:numPr>
          <w:ilvl w:val="0"/>
          <w:numId w:val="2"/>
        </w:numPr>
        <w:spacing w:after="80" w:line="276"/>
      </w:pPr>
      <w:r>
        <w:t xml:space="preserve">Decide with the executive sponsor whether to take services offline.</w:t>
      </w:r>
    </w:p>
    <w:p>
      <w:pPr>
        <w:pStyle w:val="Heading2"/>
        <w:keepNext/>
      </w:pPr>
      <w:r>
        <w:t xml:space="preserve">5.4 Eradicate and recover</w:t>
      </w:r>
    </w:p>
    <w:p>
      <w:pPr>
        <w:pStyle w:val="ListParagraph"/>
        <w:numPr>
          <w:ilvl w:val="0"/>
          <w:numId w:val="2"/>
        </w:numPr>
        <w:spacing w:after="80" w:line="276"/>
      </w:pPr>
      <w:r>
        <w:t xml:space="preserve">Remove the root cause, such as malware, a vulnerable component or a misconfiguration.</w:t>
      </w:r>
    </w:p>
    <w:p>
      <w:pPr>
        <w:pStyle w:val="ListParagraph"/>
        <w:numPr>
          <w:ilvl w:val="0"/>
          <w:numId w:val="2"/>
        </w:numPr>
        <w:spacing w:after="80" w:line="276"/>
      </w:pPr>
      <w:r>
        <w:t xml:space="preserve">Restore systems from known good backups or rebuild them, then confirm they are clean and patched.</w:t>
      </w:r>
    </w:p>
    <w:p>
      <w:pPr>
        <w:pStyle w:val="ListParagraph"/>
        <w:numPr>
          <w:ilvl w:val="0"/>
          <w:numId w:val="2"/>
        </w:numPr>
        <w:spacing w:after="80" w:line="276"/>
      </w:pPr>
      <w:r>
        <w:t xml:space="preserve">Monitor closely for signs that the attacker has returned.</w:t>
      </w:r>
    </w:p>
    <w:p>
      <w:pPr>
        <w:pStyle w:val="ListParagraph"/>
        <w:numPr>
          <w:ilvl w:val="0"/>
          <w:numId w:val="2"/>
        </w:numPr>
        <w:spacing w:after="80" w:line="276"/>
      </w:pPr>
      <w:r>
        <w:t xml:space="preserve">Return services to normal operation once the Incident Commander approves.</w:t>
      </w:r>
    </w:p>
    <w:p>
      <w:pPr>
        <w:pStyle w:val="Heading2"/>
        <w:keepNext/>
      </w:pPr>
      <w:r>
        <w:t xml:space="preserve">5.5 Learn</w:t>
      </w:r>
    </w:p>
    <w:p>
      <w:pPr>
        <w:pStyle w:val="ListParagraph"/>
        <w:numPr>
          <w:ilvl w:val="0"/>
          <w:numId w:val="2"/>
        </w:numPr>
        <w:spacing w:after="80" w:line="276"/>
      </w:pPr>
      <w:r>
        <w:t xml:space="preserve">Hold a post-incident review within </w:t>
      </w:r>
      <w:r>
        <w:rPr>
          <w:shd w:fill="FFF1A8" w:color="auto" w:val="clear"/>
        </w:rPr>
        <w:t xml:space="preserve">[10 business days]</w:t>
      </w:r>
      <w:r>
        <w:t xml:space="preserve"> of closing any SEV 1 or SEV 2 incident.</w:t>
      </w:r>
    </w:p>
    <w:p>
      <w:pPr>
        <w:pStyle w:val="ListParagraph"/>
        <w:numPr>
          <w:ilvl w:val="0"/>
          <w:numId w:val="2"/>
        </w:numPr>
        <w:spacing w:after="80" w:line="276"/>
      </w:pPr>
      <w:r>
        <w:t xml:space="preserve">Record the root cause, what worked, what did not, and corrective actions with owners and dates.</w:t>
      </w:r>
    </w:p>
    <w:p>
      <w:pPr>
        <w:pStyle w:val="ListParagraph"/>
        <w:numPr>
          <w:ilvl w:val="0"/>
          <w:numId w:val="2"/>
        </w:numPr>
        <w:spacing w:after="80" w:line="276"/>
      </w:pPr>
      <w:r>
        <w:t xml:space="preserve">Update this plan, procedures, controls and training based on the lessons learned.</w:t>
      </w:r>
    </w:p>
    <w:p>
      <w:pPr>
        <w:pStyle w:val="Heading1"/>
        <w:keepNext/>
      </w:pPr>
      <w:r>
        <w:t xml:space="preserve">6. Communication</w:t>
      </w:r>
    </w:p>
    <w:p>
      <w:pPr>
        <w:pStyle w:val="ListParagraph"/>
        <w:numPr>
          <w:ilvl w:val="0"/>
          <w:numId w:val="2"/>
        </w:numPr>
        <w:spacing w:after="80" w:line="276"/>
      </w:pPr>
      <w:r>
        <w:t xml:space="preserve">Use a separate, secure channel for incident discussions if normal systems may be compromised: </w:t>
      </w:r>
      <w:r>
        <w:rPr>
          <w:shd w:fill="FFF1A8" w:color="auto" w:val="clear"/>
        </w:rPr>
        <w:t xml:space="preserve">[backup channel]</w:t>
      </w:r>
      <w:r>
        <w:t xml:space="preserve">.</w:t>
      </w:r>
    </w:p>
    <w:p>
      <w:pPr>
        <w:pStyle w:val="ListParagraph"/>
        <w:numPr>
          <w:ilvl w:val="0"/>
          <w:numId w:val="2"/>
        </w:numPr>
        <w:spacing w:after="80" w:line="276"/>
      </w:pPr>
      <w:r>
        <w:t xml:space="preserve">Share information on a need-to-know basis. Do not discuss the incident on social media or with the press.</w:t>
      </w:r>
    </w:p>
    <w:p>
      <w:pPr>
        <w:pStyle w:val="ListParagraph"/>
        <w:numPr>
          <w:ilvl w:val="0"/>
          <w:numId w:val="2"/>
        </w:numPr>
        <w:spacing w:after="80" w:line="276"/>
      </w:pPr>
      <w:r>
        <w:t xml:space="preserve">Customer notices follow the commitments in customer contracts, such as notice within </w:t>
      </w:r>
      <w:r>
        <w:rPr>
          <w:shd w:fill="FFF1A8" w:color="auto" w:val="clear"/>
        </w:rPr>
        <w:t xml:space="preserve">[72 hours]</w:t>
      </w:r>
      <w:r>
        <w:t xml:space="preserve"> of confirming a breach of their data.</w:t>
      </w:r>
    </w:p>
    <w:p>
      <w:pPr>
        <w:pStyle w:val="ListParagraph"/>
        <w:numPr>
          <w:ilvl w:val="0"/>
          <w:numId w:val="2"/>
        </w:numPr>
        <w:spacing w:after="80" w:line="276"/>
      </w:pPr>
      <w:r>
        <w:t xml:space="preserve">The executive sponsor approves every external message before it is sent.</w:t>
      </w:r>
    </w:p>
    <w:p>
      <w:pPr>
        <w:pStyle w:val="Heading1"/>
        <w:keepNext/>
      </w:pPr>
      <w:r>
        <w:t xml:space="preserve">7. Breach notification</w:t>
      </w:r>
    </w:p>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These are common notification rules. Each one has conditions and exceptions, and other laws may apply. Confirm the obligations that apply to each breach with legal counsel.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830"/>
        <w:gridCol w:w="3230"/>
      </w:tblGrid>
      <w:tr>
        <w:trPr>
          <w:cantSplit/>
          <w:tblHeader/>
        </w:trPr>
        <w:tc>
          <w:tcPr>
            <w:tcW w:type="dxa" w:w="23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Law</w:t>
            </w:r>
          </w:p>
        </w:tc>
        <w:tc>
          <w:tcPr>
            <w:tcW w:type="dxa" w:w="383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When notice is required</w:t>
            </w:r>
          </w:p>
        </w:tc>
        <w:tc>
          <w:tcPr>
            <w:tcW w:type="dxa" w:w="323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Timing</w:t>
            </w:r>
          </w:p>
        </w:tc>
      </w:tr>
      <w:tr>
        <w:trPr>
          <w:cantSplit/>
          <w:tblHeader w:val="false"/>
        </w:trPr>
        <w:tc>
          <w:tcPr>
            <w:tcW w:type="dxa" w:w="2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PIPEDA (Canada)</w:t>
            </w:r>
          </w:p>
        </w:tc>
        <w:tc>
          <w:tcPr>
            <w:tcW w:type="dxa" w:w="38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Breach of security safeguards involving personal information that creates a real risk of significant harm. Report to the Office of the Privacy Commissioner of Canada and notify affected individuals.</w:t>
            </w:r>
          </w:p>
        </w:tc>
        <w:tc>
          <w:tcPr>
            <w:tcW w:type="dxa" w:w="32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As soon as feasible after determining the breach occurred. Keep a record of every breach for 24 months.</w:t>
            </w:r>
          </w:p>
        </w:tc>
      </w:tr>
      <w:tr>
        <w:trPr>
          <w:cantSplit/>
          <w:tblHeader w:val="false"/>
        </w:trPr>
        <w:tc>
          <w:tcPr>
            <w:tcW w:type="dxa" w:w="2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Quebec Law 25</w:t>
            </w:r>
          </w:p>
        </w:tc>
        <w:tc>
          <w:tcPr>
            <w:tcW w:type="dxa" w:w="38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Confidentiality incident that presents a risk of serious injury. Notify the Commission d'accès à l'information and affected individuals.</w:t>
            </w:r>
          </w:p>
        </w:tc>
        <w:tc>
          <w:tcPr>
            <w:tcW w:type="dxa" w:w="32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Promptly. Keep a register of all confidentiality incidents.</w:t>
            </w:r>
          </w:p>
        </w:tc>
      </w:tr>
      <w:tr>
        <w:trPr>
          <w:cantSplit/>
          <w:tblHeader w:val="false"/>
        </w:trPr>
        <w:tc>
          <w:tcPr>
            <w:tcW w:type="dxa" w:w="2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HIPAA (United States)</w:t>
            </w:r>
          </w:p>
        </w:tc>
        <w:tc>
          <w:tcPr>
            <w:tcW w:type="dxa" w:w="38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Breach of unsecured protected health information. Covered entities notify individuals, HHS and, for more than 500 residents of a state or jurisdiction, the media. Business associates notify the covered entity.</w:t>
            </w:r>
          </w:p>
        </w:tc>
        <w:tc>
          <w:tcPr>
            <w:tcW w:type="dxa" w:w="32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Without unreasonable delay and no later than 60 days after discovery. Breaches affecting fewer than 500 people may be reported to HHS within 60 days after the end of the calendar year.</w:t>
            </w:r>
          </w:p>
        </w:tc>
      </w:tr>
      <w:tr>
        <w:trPr>
          <w:cantSplit/>
          <w:tblHeader w:val="false"/>
        </w:trPr>
        <w:tc>
          <w:tcPr>
            <w:tcW w:type="dxa" w:w="2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US state breach laws</w:t>
            </w:r>
          </w:p>
        </w:tc>
        <w:tc>
          <w:tcPr>
            <w:tcW w:type="dxa" w:w="38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Each state has its own definition of personal information, thresholds and content rules, and some require notice to the state attorney general.</w:t>
            </w:r>
          </w:p>
        </w:tc>
        <w:tc>
          <w:tcPr>
            <w:tcW w:type="dxa" w:w="32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Varies by state. Some set fixed deadlines such as 30 or 45 days.</w:t>
            </w:r>
          </w:p>
        </w:tc>
      </w:tr>
      <w:tr>
        <w:trPr>
          <w:cantSplit/>
          <w:tblHeader w:val="false"/>
        </w:trPr>
        <w:tc>
          <w:tcPr>
            <w:tcW w:type="dxa" w:w="2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GDPR (if applicable)</w:t>
            </w:r>
          </w:p>
        </w:tc>
        <w:tc>
          <w:tcPr>
            <w:tcW w:type="dxa" w:w="38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Personal data breach likely to result in a risk to individuals. Notify the supervisory authority, and individuals if the risk is high.</w:t>
            </w:r>
          </w:p>
        </w:tc>
        <w:tc>
          <w:tcPr>
            <w:tcW w:type="dxa" w:w="32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Supervisory authority within 72 hours of becoming aware, where feasible.</w:t>
            </w:r>
          </w:p>
        </w:tc>
      </w:tr>
      <w:tr>
        <w:trPr>
          <w:cantSplit/>
          <w:tblHeader w:val="false"/>
        </w:trPr>
        <w:tc>
          <w:tcPr>
            <w:tcW w:type="dxa" w:w="2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Customer contracts</w:t>
            </w:r>
          </w:p>
        </w:tc>
        <w:tc>
          <w:tcPr>
            <w:tcW w:type="dxa" w:w="38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As set out in each customer agreement or data processing agreement.</w:t>
            </w:r>
          </w:p>
        </w:tc>
        <w:tc>
          <w:tcPr>
            <w:tcW w:type="dxa" w:w="323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[Insert your standard commitment]</w:t>
            </w:r>
          </w:p>
        </w:tc>
      </w:tr>
    </w:tbl>
    <w:p>
      <w:pPr>
        <w:spacing w:after="80"/>
      </w:pPr>
    </w:p>
    <w:p>
      <w:pPr>
        <w:pStyle w:val="Heading1"/>
        <w:keepNext/>
      </w:pPr>
      <w:r>
        <w:t xml:space="preserve">8. Evidence and records</w:t>
      </w:r>
    </w:p>
    <w:p>
      <w:pPr>
        <w:pStyle w:val="ListParagraph"/>
        <w:numPr>
          <w:ilvl w:val="0"/>
          <w:numId w:val="2"/>
        </w:numPr>
        <w:spacing w:after="80" w:line="276"/>
      </w:pPr>
      <w:r>
        <w:t xml:space="preserve">Keep incident tickets, timelines, evidence and decisions for at least </w:t>
      </w:r>
      <w:r>
        <w:rPr>
          <w:shd w:fill="FFF1A8" w:color="auto" w:val="clear"/>
        </w:rPr>
        <w:t xml:space="preserve">[3 years]</w:t>
      </w:r>
      <w:r>
        <w:t xml:space="preserve">, or longer if the law or a legal hold requires.</w:t>
      </w:r>
    </w:p>
    <w:p>
      <w:pPr>
        <w:pStyle w:val="ListParagraph"/>
        <w:numPr>
          <w:ilvl w:val="0"/>
          <w:numId w:val="2"/>
        </w:numPr>
        <w:spacing w:after="80" w:line="276"/>
      </w:pPr>
      <w:r>
        <w:t xml:space="preserve">Protect evidence with access controls and record who handled it and when.</w:t>
      </w:r>
    </w:p>
    <w:p>
      <w:pPr>
        <w:pStyle w:val="ListParagraph"/>
        <w:numPr>
          <w:ilvl w:val="0"/>
          <w:numId w:val="2"/>
        </w:numPr>
        <w:spacing w:after="80" w:line="276"/>
      </w:pPr>
      <w:r>
        <w:t xml:space="preserve">Record every breach, even when notification is not required, with the reasons for the decision.</w:t>
      </w:r>
    </w:p>
    <w:p>
      <w:pPr>
        <w:pStyle w:val="Heading1"/>
        <w:keepNext/>
      </w:pPr>
      <w:r>
        <w:t xml:space="preserve">9. Testing and review</w:t>
      </w:r>
    </w:p>
    <w:p>
      <w:pPr>
        <w:spacing w:after="120" w:line="276"/>
        <w:jc w:val="left"/>
      </w:pPr>
      <w:r>
        <w:t xml:space="preserve">The </w:t>
      </w:r>
      <w:r>
        <w:rPr>
          <w:shd w:fill="FFF1A8" w:color="auto" w:val="clear"/>
        </w:rPr>
        <w:t xml:space="preserve">[Information Security Officer]</w:t>
      </w:r>
      <w:r>
        <w:t xml:space="preserve"> tests this plan at least annually through a tabletop exercise or live drill, and reviews it after every SEV 1 incident and at least annually. Executive management approves changes.</w:t>
      </w:r>
    </w:p>
    <w:p>
      <w:pPr>
        <w:pStyle w:val="Heading1"/>
        <w:keepNext/>
      </w:pPr>
      <w:r>
        <w:t xml:space="preserve">Appendix A: contact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200"/>
        <w:gridCol w:w="1960"/>
      </w:tblGrid>
      <w:tr>
        <w:trPr>
          <w:cantSplit/>
          <w:tblHeader/>
        </w:trPr>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Role or organization</w:t>
            </w:r>
          </w:p>
        </w:tc>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Name</w:t>
            </w:r>
          </w:p>
        </w:tc>
        <w:tc>
          <w:tcPr>
            <w:tcW w:type="dxa" w:w="22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Phone</w:t>
            </w:r>
          </w:p>
        </w:tc>
        <w:tc>
          <w:tcPr>
            <w:tcW w:type="dxa" w:w="19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Email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Incident Commander</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[Name]</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[Email]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Backup Incident Commander</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[Name]</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[Email]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Executive sponsor</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[Name]</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[Email]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Legal counsel</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[Firm, name]</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[Email]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Cyber insurance hotline</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[Insurer, policy no.]</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[Email]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Cloud provider support</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[Provider, account ID]</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[Portal]</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Forensics firm</w:t>
            </w:r>
          </w:p>
        </w:tc>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[Firm]</w:t>
            </w:r>
          </w:p>
        </w:tc>
        <w:tc>
          <w:tcPr>
            <w:tcW w:type="dxa" w:w="22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[Phone]</w:t>
            </w:r>
          </w:p>
        </w:tc>
        <w:tc>
          <w:tcPr>
            <w:tcW w:type="dxa" w:w="19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[Email]</w:t>
            </w:r>
          </w:p>
        </w:tc>
      </w:tr>
    </w:tbl>
    <w:p>
      <w:pPr>
        <w:spacing w:after="80"/>
      </w:pPr>
    </w:p>
    <w:p>
      <w:pPr>
        <w:pStyle w:val="Heading1"/>
        <w:keepNext/>
      </w:pPr>
      <w:r>
        <w:t xml:space="preserve">Appendix B: post-incident review template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blHeader/>
        </w:trPr>
        <w:tc>
          <w:tcPr>
            <w:tcW w:type="dxa" w:w="30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Item</w:t>
            </w:r>
          </w:p>
        </w:tc>
        <w:tc>
          <w:tcPr>
            <w:tcW w:type="dxa" w:w="63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Details</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Incident ID and severity</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[ID, SEV level]</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Timeline</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[Detected, contained, eradicated, recovered, closed, with dates and times]</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What happened</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[Summary of the incident and its impact]</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Root cause</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[Underlying cause, not just the trigger]</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Data and customers affected</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[Data types, number of records, customers]</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Notifications made</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[Who was notified, when, and why]</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What worked well</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What to improve</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Corrective actions</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[Action, owner, due date]</w:t>
            </w:r>
          </w:p>
        </w:tc>
      </w:tr>
    </w:tbl>
    <w:p>
      <w:pPr>
        <w:spacing w:after="80"/>
      </w:pPr>
    </w:p>
    <w:p>
      <w:pPr>
        <w:pStyle w:val="Heading1"/>
        <w:keepNext/>
      </w:pPr>
      <w:r>
        <w:t xml:space="preserve">Appendix C: framework mapping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180"/>
        <w:gridCol w:w="3180"/>
      </w:tblGrid>
      <w:tr>
        <w:trPr>
          <w:cantSplit/>
          <w:tblHeader/>
        </w:trPr>
        <w:tc>
          <w:tcPr>
            <w:tcW w:type="dxa" w:w="30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Plan section</w:t>
            </w:r>
          </w:p>
        </w:tc>
        <w:tc>
          <w:tcPr>
            <w:tcW w:type="dxa" w:w="31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SOC 2 (2017 TSC)</w:t>
            </w:r>
          </w:p>
        </w:tc>
        <w:tc>
          <w:tcPr>
            <w:tcW w:type="dxa" w:w="31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ISO/IEC 27001:2022</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3 Roles</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CC7.4</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5.24</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5.2 Detect and analyze</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CC7.2, CC7.3</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5.25, 6.8</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5.3 and 5.4 Respond and recover</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CC7.4, CC7.5</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5.26</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5.5 Learn</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CC7.5</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5.27</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7 Notification</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CC7.4, plus P6.6 if Privacy is in scope</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5.26, 5.31</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8 Evidence</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CC7.4</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5.28</w:t>
            </w:r>
          </w:p>
        </w:tc>
      </w:tr>
    </w:tbl>
    <w:sectPr>
      <w:headerReference w:type="default" r:id="rId7"/>
      <w:footerReference w:type="default" r:id="rId8"/>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Template from nank.ai  |  Page </w:t>
    </w:r>
    <w:r>
      <w:rPr>
        <w:color w:val="6B7280"/>
        <w:sz w:val="16"/>
        <w:szCs w:val="16"/>
      </w:rPr>
      <w:fldChar w:fldCharType="begin"/>
      <w:instrText xml:space="preserve">PAGE</w:instrText>
      <w:fldChar w:fldCharType="separate"/>
      <w:fldChar w:fldCharType="end"/>
    </w:r>
    <w:r>
      <w:rPr>
        <w:color w:val="6B7280"/>
        <w:sz w:val="16"/>
        <w:szCs w:val="16"/>
      </w:rPr>
      <w:t xml:space="preserve"> of </w:t>
    </w:r>
    <w:r>
      <w:rPr>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[Company Name]  |  Incident Response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Calibri" w:cs="Calibri" w:eastAsia="Calibri" w:hAnsi="Calibri"/>
      <w:b/>
      <w:bCs/>
      <w:color w:val="0B1F3A"/>
      <w:sz w:val="28"/>
      <w:szCs w:val="28"/>
    </w:rPr>
  </w:style>
  <w:style w:type="paragraph" w:styleId="Heading2">
    <w:name w:val="Heading 2"/>
    <w:basedOn w:val="Normal"/>
    <w:next w:val="Normal"/>
    <w:qFormat/>
    <w:pPr>
      <w:spacing w:after="100" w:before="200"/>
      <w:outlineLvl w:val="1"/>
    </w:pPr>
    <w:rPr>
      <w:rFonts w:ascii="Calibri" w:cs="Calibri" w:eastAsia="Calibri" w:hAnsi="Calibri"/>
      <w:b/>
      <w:bCs/>
      <w:color w:val="046BD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(Template)</dc:title>
  <dc:creator>nank.ai</dc:creator>
  <cp:lastModifiedBy>Un-named</cp:lastModifiedBy>
  <cp:revision>1</cp:revision>
  <dcterms:created xsi:type="dcterms:W3CDTF">2026-10-02T00:18:50.725Z</dcterms:created>
  <dcterms:modified xsi:type="dcterms:W3CDTF">2026-10-02T00:18:50.725Z</dcterms:modified>
</cp:coreProperties>
</file>

<file path=docProps/custom.xml><?xml version="1.0" encoding="utf-8"?>
<Properties xmlns="http://schemas.openxmlformats.org/officeDocument/2006/custom-properties" xmlns:vt="http://schemas.openxmlformats.org/officeDocument/2006/docPropsVTypes"/>
</file>